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255"/>
          <w:numId w:val="0"/>
        </w:numPr>
        <w:spacing w:line="600" w:lineRule="exact"/>
        <w:jc w:val="center"/>
        <w:rPr>
          <w:rFonts w:ascii="方正小标宋简体" w:hAnsi="方正小标宋简体" w:eastAsia="方正小标宋简体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sz w:val="44"/>
          <w:szCs w:val="44"/>
        </w:rPr>
        <w:t>安定书院“十四五”发展规划</w:t>
      </w:r>
    </w:p>
    <w:p>
      <w:pPr>
        <w:numPr>
          <w:ilvl w:val="255"/>
          <w:numId w:val="0"/>
        </w:numPr>
        <w:spacing w:line="520" w:lineRule="exact"/>
        <w:ind w:firstLine="601" w:firstLineChars="188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一、指导思想</w:t>
      </w:r>
    </w:p>
    <w:p>
      <w:pPr>
        <w:pStyle w:val="4"/>
        <w:spacing w:after="0" w:line="520" w:lineRule="exact"/>
        <w:ind w:left="0" w:right="0" w:firstLine="590"/>
        <w:rPr>
          <w:color w:val="auto"/>
        </w:rPr>
      </w:pPr>
      <w:r>
        <w:rPr>
          <w:rFonts w:hint="eastAsia" w:ascii="仿宋_GB2312" w:eastAsia="仿宋_GB2312"/>
          <w:color w:val="auto"/>
          <w:sz w:val="32"/>
        </w:rPr>
        <w:t>以习近平新时代中国特色社会主义思想和人才强国战略思想为指导，全面贯彻党的十九大和历次中央全会精神及国家、省市教育大会精神，全面落实学校第四次党代会精神，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</w:rPr>
        <w:t>以立德树人为根本任务，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以“明体达用”的教育思想为指引，</w:t>
      </w:r>
      <w:r>
        <w:rPr>
          <w:rFonts w:hint="eastAsia" w:ascii="仿宋_GB2312" w:eastAsia="仿宋_GB2312" w:hAnsiTheme="minorEastAsia"/>
          <w:color w:val="auto"/>
          <w:sz w:val="32"/>
          <w:szCs w:val="32"/>
        </w:rPr>
        <w:t>始终坚持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</w:rPr>
        <w:t>“</w:t>
      </w:r>
      <w:r>
        <w:rPr>
          <w:rFonts w:hint="eastAsia" w:ascii="仿宋_GB2312" w:eastAsia="仿宋_GB2312" w:hAnsiTheme="minorEastAsia"/>
          <w:color w:val="auto"/>
          <w:sz w:val="32"/>
          <w:szCs w:val="32"/>
        </w:rPr>
        <w:t>弘扬优良师范传统，</w:t>
      </w:r>
      <w:r>
        <w:rPr>
          <w:rFonts w:ascii="仿宋_GB2312" w:eastAsia="仿宋_GB2312" w:hAnsiTheme="minorEastAsia"/>
          <w:color w:val="auto"/>
          <w:sz w:val="32"/>
          <w:szCs w:val="32"/>
        </w:rPr>
        <w:t>彰显鲜明应用特色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</w:rPr>
        <w:t>，</w:t>
      </w:r>
      <w:r>
        <w:rPr>
          <w:rFonts w:hint="eastAsia" w:ascii="仿宋_GB2312" w:eastAsia="仿宋_GB2312" w:hAnsiTheme="minorEastAsia"/>
          <w:color w:val="auto"/>
          <w:sz w:val="32"/>
          <w:szCs w:val="32"/>
        </w:rPr>
        <w:t>精心打造高水平本科教育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</w:rPr>
        <w:t>”的办学思路，落实党代会“3918”战略体系，</w:t>
      </w:r>
      <w:r>
        <w:rPr>
          <w:rFonts w:hint="eastAsia" w:ascii="仿宋_GB2312" w:eastAsia="仿宋_GB2312" w:hAnsiTheme="minorEastAsia"/>
          <w:color w:val="auto"/>
          <w:sz w:val="32"/>
          <w:szCs w:val="32"/>
        </w:rPr>
        <w:t>努力培养文化涵养宽厚、知识底蕴精深、能力素养出众、国际视野开阔的卓越创新人才，为创建高水平湖州师范大学、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</w:rPr>
        <w:t>推进学校全面实现高质量跨越式发展奠定基础。</w:t>
      </w:r>
    </w:p>
    <w:p>
      <w:pPr>
        <w:numPr>
          <w:ilvl w:val="255"/>
          <w:numId w:val="0"/>
        </w:numPr>
        <w:spacing w:line="520" w:lineRule="exact"/>
        <w:ind w:firstLine="601" w:firstLineChars="188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二、发展形势与背景</w:t>
      </w:r>
    </w:p>
    <w:p>
      <w:pPr>
        <w:numPr>
          <w:ilvl w:val="255"/>
          <w:numId w:val="0"/>
        </w:numPr>
        <w:spacing w:line="520" w:lineRule="exact"/>
        <w:ind w:firstLine="601" w:firstLineChars="188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随着高等教育人才培养改革的进一步深化，国内建立荣誉学院的高校越来越多，荣誉学院已经成为我国拔尖创新人才培养的新基地，是高校对优秀本科生实施个性化培养的专门机构。学院通过各种方式向优秀本科生提供有计划、有挑战的多样化课程，创造优异的学习环境，以满足拔尖创新学生的发展需求。如清华大学新雅书院、北京大学元培学院、复旦大学复旦学院、上海交通大学致远学院等，省内有浙江大学竺可桢学院、浙江工业大学健行学院、浙江师范大学初阳学院、浙江农林大学集贤学院等。</w:t>
      </w:r>
    </w:p>
    <w:p>
      <w:pPr>
        <w:numPr>
          <w:ilvl w:val="255"/>
          <w:numId w:val="0"/>
        </w:numPr>
        <w:spacing w:line="520" w:lineRule="exact"/>
        <w:ind w:firstLine="601" w:firstLineChars="188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同高校的荣誉学院有不同的人才培养模式，但他们具有一些共同特征:一是以培养“拔尖创新人才”为目标，学校优势教育资源相对集中；二是小班化设置，注重“厚基础，宽口径”的基础教育和通识教育；三是注重培养学生的创新能力和研究能力，为学生配备阵容强大的校内外导师团；四是实施教育国际化，组织学生出国或到国内知名高校、研究所交流学习；五是与研究生教育接轨，采用本硕一体化教育模式，将研究生教育模式融入本科教学；六是建立荣誉制度和学生动态调整机制等一系列制度。</w:t>
      </w:r>
    </w:p>
    <w:p>
      <w:pPr>
        <w:numPr>
          <w:ilvl w:val="255"/>
          <w:numId w:val="0"/>
        </w:numPr>
        <w:spacing w:line="520" w:lineRule="exact"/>
        <w:ind w:firstLine="601" w:firstLineChars="188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校一直秉承北宋教育家胡瑗始创的湖学精髓，以其“明体达用”的教育思想为校训。在习近平总书记来校视察时提出的“三个一定”办学目标指引下，学校从规模扩张到内涵发展，从面向全国招生到教育国际化，从本专科教育到研究生教育，从教学型高校走向教学研究型高校，为新一轮赶超发展奠定了坚实基础。在这样的办学背景下，成立荣誉学院——安定书院，是学校积极响应国家高等教育“双一流”发展战略的前瞻之策，也是推进学校高水平师范大学建设的必要之举。</w:t>
      </w:r>
    </w:p>
    <w:p>
      <w:pPr>
        <w:numPr>
          <w:ilvl w:val="255"/>
          <w:numId w:val="0"/>
        </w:numPr>
        <w:spacing w:line="520" w:lineRule="exact"/>
        <w:ind w:firstLine="601" w:firstLineChars="188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三、工作思路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eastAsia="仿宋_GB2312" w:hAnsiTheme="minorEastAsia"/>
          <w:color w:val="auto"/>
          <w:sz w:val="32"/>
          <w:szCs w:val="32"/>
        </w:rPr>
      </w:pPr>
      <w:r>
        <w:rPr>
          <w:rFonts w:hint="eastAsia" w:ascii="仿宋_GB2312" w:eastAsia="仿宋_GB2312" w:hAnsiTheme="minorEastAsia"/>
          <w:color w:val="auto"/>
          <w:sz w:val="32"/>
          <w:szCs w:val="32"/>
        </w:rPr>
        <w:t>“十四五”期间，围绕学校发展要求和人才培养改革的实际需要，系统建设书院架构，科学设置和动态调整招生专业，统筹协调办学规模，按照“三制三化三融合，五育并举多元协同”的培养模式，实施党建领航、教学强基、导师引领、国际交流、素质提升、现代治理六项工程，为卓越创新人才的培养搭建平台。</w:t>
      </w:r>
    </w:p>
    <w:p>
      <w:pPr>
        <w:numPr>
          <w:ilvl w:val="255"/>
          <w:numId w:val="0"/>
        </w:numPr>
        <w:spacing w:line="520" w:lineRule="exact"/>
        <w:ind w:firstLine="601" w:firstLineChars="188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四、发展目标</w:t>
      </w:r>
    </w:p>
    <w:p>
      <w:pPr>
        <w:numPr>
          <w:ilvl w:val="255"/>
          <w:numId w:val="0"/>
        </w:numPr>
        <w:spacing w:line="520" w:lineRule="exact"/>
        <w:ind w:firstLine="604" w:firstLineChars="188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发展总体目标：</w:t>
      </w:r>
      <w:r>
        <w:rPr>
          <w:rFonts w:hint="eastAsia" w:ascii="仿宋_GB2312" w:eastAsia="仿宋_GB2312" w:hAnsiTheme="minorEastAsia"/>
          <w:sz w:val="32"/>
          <w:szCs w:val="32"/>
        </w:rPr>
        <w:t>围绕卓越创新人才的培养目标，打造“卓越创新人才培养试验区、创新教育改革示范区、国际化教育先行区”，把安定书院建设成有特色有影响力的一流荣誉学院。</w:t>
      </w:r>
    </w:p>
    <w:p>
      <w:pPr>
        <w:numPr>
          <w:ilvl w:val="255"/>
          <w:numId w:val="0"/>
        </w:numPr>
        <w:spacing w:line="520" w:lineRule="exact"/>
        <w:ind w:firstLine="604" w:firstLineChars="188"/>
        <w:rPr>
          <w:rFonts w:ascii="仿宋_GB2312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仿宋_GB2312"/>
          <w:b/>
          <w:color w:val="auto"/>
          <w:sz w:val="32"/>
          <w:szCs w:val="32"/>
          <w:highlight w:val="none"/>
        </w:rPr>
        <w:t>具体发展目标：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（一）学生培养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：招生专业和在校生规模控制在一定的范围之内，第一届毕业生考研录取率达到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0%,高质量就业率达到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0%；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（二）建章立制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：建立和完善学院运行管理制度，包括师资队伍建设、教学工作管理、学生工作管理等方面的规章制度和相应的激励机制；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（三）教学建设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：建设英语、中小学综合实践活动、人工智能教育等十个左右教学研究中心；争取建设国家级一流课程1-2门、省级一流课程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3-5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门左右；争取获省级及以上教学成果奖1-2项</w:t>
      </w: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numPr>
          <w:ilvl w:val="255"/>
          <w:numId w:val="0"/>
        </w:numPr>
        <w:spacing w:line="520" w:lineRule="exact"/>
        <w:ind w:firstLine="601" w:firstLineChars="188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五、重点任务与建设举措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楷体" w:hAnsi="楷体" w:eastAsia="楷体" w:cs="仿宋_GB2312"/>
          <w:b/>
          <w:color w:val="auto"/>
          <w:sz w:val="32"/>
          <w:szCs w:val="32"/>
        </w:rPr>
      </w:pPr>
      <w:r>
        <w:rPr>
          <w:rFonts w:hint="eastAsia" w:ascii="楷体" w:hAnsi="楷体" w:eastAsia="楷体" w:cs="仿宋_GB2312"/>
          <w:b/>
          <w:color w:val="auto"/>
          <w:sz w:val="32"/>
          <w:szCs w:val="32"/>
        </w:rPr>
        <w:t>（一）聚焦党建领航，实施“红色+”寻根筑梦工程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加强党的全面领导。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党总支统一领导、党政分工合作、协调运行的工作机制，建立健全理论中心组集体学习制度，切实把学习党中央精神要求、贯彻学校发展战略与研究学院发展规划结合起来，充分发挥党总支在人才培养、服务师生、推动发展等方面的重要作用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发挥党支部战斗堡垒作用。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落实好党支部“三会一课”制度和支部书记述职评议制度，做好师生党支部建设党员发展工作，推进学习型、服务型、创新型党组织建设，不断增强基层党组织的创造力、凝聚力和战斗力。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酝酿培育党建特色品牌。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以安定先生“明体达用”思想为根脉，以“学党史、开新局”为主线，通过“读学讲悟行”积极引导青年学生传承红色基因、牢记初心使命、厚植家国情怀，为创建党建工作标杆院系、样板支部打下坚实基础。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加强党风廉政和作风建设。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严格执行党风廉政建设责任制，进一步强化党风廉政建设主体责任。坚持和完善领导干部联系基层制度、党员联系师生制度，建立作风建设长效机制。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" w:hAnsi="楷体" w:eastAsia="楷体" w:cs="仿宋_GB2312"/>
          <w:b/>
          <w:color w:val="auto"/>
          <w:sz w:val="32"/>
          <w:szCs w:val="32"/>
        </w:rPr>
        <w:t>（二）聚焦教学强基，实施“卓越+”人才培养工程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科学制定实验班培养方案。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以学生产出为导向，与专业所在学院共同制定和完善实验班招生专业的人才培养方案。科学设置通识课程、专业课程、实践课程的比例和标准，构建合理的课程体系；制定和完善课程教学大纲。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加强课程思政建设。</w:t>
      </w:r>
      <w:r>
        <w:rPr>
          <w:rFonts w:ascii="仿宋_GB2312" w:hAnsi="仿宋_GB2312" w:eastAsia="仿宋_GB2312" w:cs="仿宋_GB2312"/>
          <w:sz w:val="32"/>
          <w:szCs w:val="32"/>
        </w:rPr>
        <w:t>深入梳理</w:t>
      </w:r>
      <w:r>
        <w:rPr>
          <w:rFonts w:hint="eastAsia" w:ascii="仿宋_GB2312" w:hAnsi="仿宋_GB2312" w:eastAsia="仿宋_GB2312" w:cs="仿宋_GB2312"/>
          <w:sz w:val="32"/>
          <w:szCs w:val="32"/>
        </w:rPr>
        <w:t>课程</w:t>
      </w:r>
      <w:r>
        <w:rPr>
          <w:rFonts w:ascii="仿宋_GB2312" w:hAnsi="仿宋_GB2312" w:eastAsia="仿宋_GB2312" w:cs="仿宋_GB2312"/>
          <w:sz w:val="32"/>
          <w:szCs w:val="32"/>
        </w:rPr>
        <w:t>教学内容，挖掘课程思政元素，构建科学合理的课程思政教学体系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ascii="仿宋_GB2312" w:hAnsi="仿宋_GB2312" w:eastAsia="仿宋_GB2312" w:cs="仿宋_GB2312"/>
          <w:sz w:val="32"/>
          <w:szCs w:val="32"/>
        </w:rPr>
        <w:t>推进现代信息技术在课程思政教学中的应用，拓展课程思政建设方法和途径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提高课程思政内涵融入课堂教学的水平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激发学生学习兴趣，引导学生深入思考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实现育人效果。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推进教育教学改革。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“本硕一体化”教育模式，将研究生教育模式融入实验班本科教学。以小班化教学为契机，采用研究式、启发式、讨论式等多元化的教学模式，发挥第一课堂的主阵地作用，注重学生能力素养的培养，倡导学生自主学习、合作学习、探索学习，强化科研学术能力，提升学术抱负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建设教学研究中心。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通识教育，开设荣誉课程，推动教学研究工作，建设好英语、应用写作、中小学综合实践活动、国风礼仪、人工智能教育、体育、美育等若干个教学研究中心，争取建设若干门国家级、省级一流课程，培育并争取获得省级及以上教学成果奖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" w:hAnsi="楷体" w:eastAsia="楷体" w:cs="仿宋_GB2312"/>
          <w:b/>
          <w:color w:val="auto"/>
          <w:sz w:val="32"/>
          <w:szCs w:val="32"/>
        </w:rPr>
        <w:t>（三）聚焦多元协同，实施“个性+”导师引领工程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实施双导师制。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每位学生配备双导师，实行双向选择。选聘校内学术水平高、育人效果好的高学历、高职称教师，校外科研院所学者、中小学知名专家和业界精英等担任导师，全程指导学生学习研究，全程参与学生的成长成才。引导学生完成本科学业后进一步深造学习，争取考研录取率达7</w:t>
      </w:r>
      <w:r>
        <w:rPr>
          <w:rFonts w:ascii="仿宋_GB2312" w:hAnsi="仿宋_GB2312" w:eastAsia="仿宋_GB2312" w:cs="仿宋_GB2312"/>
          <w:sz w:val="32"/>
          <w:szCs w:val="32"/>
        </w:rPr>
        <w:t>0%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开展个性化成长计划。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依托小班化和导师制因材施教，引导学生根据自身能力与兴趣，科学制定个人培养计划和学习规划，激发学生学习积极性、主动性和独立性，开发学生潜能，促进学生个性发展。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建立师生创新创业团队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。结合专业特点，以项目制为抓手，组建师生创新创业团队，鼓励学生积极参加“挑战杯”“互联网+”大赛和各级各类专业学科竞赛等课外学术实践活动，争取在省级及以上比赛中实现新的突破。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搭建协同创新育人平台。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校外导师为依托，组织学生走进专业对应的国家科研机构、实验室或行业企业，通过实地参观、校友访谈、行业发展讲座等形式，培育专业认同感和行业情怀;建立长期定点社会实践基地、专业实践基地，共同建设创新合作平台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楷体" w:hAnsi="楷体" w:eastAsia="楷体" w:cs="仿宋_GB2312"/>
          <w:b/>
          <w:color w:val="auto"/>
          <w:sz w:val="32"/>
          <w:szCs w:val="32"/>
        </w:rPr>
      </w:pPr>
      <w:r>
        <w:rPr>
          <w:rFonts w:hint="eastAsia" w:ascii="楷体" w:hAnsi="楷体" w:eastAsia="楷体" w:cs="仿宋_GB2312"/>
          <w:b/>
          <w:color w:val="auto"/>
          <w:sz w:val="32"/>
          <w:szCs w:val="32"/>
        </w:rPr>
        <w:t>（四）聚焦对外交流，实施“国际+”研学助长工程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制定教育国际化方案。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制定适应培养目标的国际化人才培养战略，完善落实学生游学、交流学习、学分互换等一系列政策措施，逐步推进学院开展国际交流与合作的规划、协调和管理工作。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浓厚国际交流氛围。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与外国语学院的协同合作，依托英语教学研究中心，强化学生的外语能力；加强与外国语学院、国际学院、外事处、教务处等职能部门之间的联动，积极引导学生参与英语角、中外文化交流节等活动，促进中外文化交融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推进名校研学项目。</w:t>
      </w:r>
      <w:r>
        <w:rPr>
          <w:rFonts w:hint="eastAsia" w:ascii="仿宋_GB2312" w:hAnsi="仿宋_GB2312" w:eastAsia="仿宋_GB2312" w:cs="仿宋_GB2312"/>
          <w:sz w:val="32"/>
          <w:szCs w:val="32"/>
        </w:rPr>
        <w:t>与国内外高校联合开展课程教学资源共享、人才培养、文化交流等合作。设立国际交流奖学金，每年选拔一批优秀学生赴国内外知名高校交流学习项目，拓宽学生国际视野。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楷体" w:hAnsi="楷体" w:eastAsia="楷体" w:cs="仿宋_GB2312"/>
          <w:b/>
          <w:color w:val="auto"/>
          <w:sz w:val="32"/>
          <w:szCs w:val="32"/>
        </w:rPr>
      </w:pPr>
      <w:r>
        <w:rPr>
          <w:rFonts w:hint="eastAsia" w:ascii="楷体" w:hAnsi="楷体" w:eastAsia="楷体" w:cs="仿宋_GB2312"/>
          <w:b/>
          <w:color w:val="auto"/>
          <w:sz w:val="32"/>
          <w:szCs w:val="32"/>
        </w:rPr>
        <w:t>（五）聚焦五育并举，实施“思政+”素质提升工程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建立“三全育人”思政工作体系。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提升学风建设为中心，重点打造学习型班集体、学习型宿舍和学习型团队。建立全员、全过程、全方位育人的思政教育工作体系，学院领导班子、行政人员全体担任班主任团队成员，为学生营造愉快学习、健康成才的“书院制”氛围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开设“安定讲坛”。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共话胡瑗思想、探索创新人才培养机制，定期开展“安定讲坛”，邀请专家、名师等来校开展主题讲座，经常性开展师生研讨、互动交流、茶叙茶约等课外活动，以润物细无声的方式塑造安定学生崇高的人文品格、价值品质和道德品行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打造“三美三进”素质提升品牌活动。</w:t>
      </w:r>
      <w:r>
        <w:rPr>
          <w:rFonts w:hint="eastAsia" w:ascii="仿宋_GB2312" w:hAnsi="仿宋_GB2312" w:eastAsia="仿宋_GB2312" w:cs="仿宋_GB2312"/>
          <w:sz w:val="32"/>
          <w:szCs w:val="32"/>
        </w:rPr>
        <w:t>将“体育、美育、劳育”融入到教育教学和校园文化活动中，实现“三美”进头脑、进课堂、进生活，引导学生在钻研专业知识的同时拥有丰富多彩的课外生活，从而拥有强健的体魄、高雅的艺术情操和丰富的生活实践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楷体" w:hAnsi="楷体" w:eastAsia="楷体" w:cs="仿宋_GB2312"/>
          <w:b/>
          <w:color w:val="auto"/>
          <w:sz w:val="32"/>
          <w:szCs w:val="32"/>
        </w:rPr>
      </w:pPr>
      <w:r>
        <w:rPr>
          <w:rFonts w:hint="eastAsia" w:ascii="楷体" w:hAnsi="楷体" w:eastAsia="楷体" w:cs="仿宋_GB2312"/>
          <w:b/>
          <w:color w:val="auto"/>
          <w:sz w:val="32"/>
          <w:szCs w:val="32"/>
        </w:rPr>
        <w:t>（六）聚焦提质增效，实施“质量+”现代治理工程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优化学院管理架构。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以“定位准确、职责清晰、管控有力、运行高效”为目标，持续推进学院的管理体制改革。完善学院管理机构工作制度与工作流程，规范各项办事制度，大力推进数字化改革，采用信息化手段提高管理效率。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完善监督和质量保障机制。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提高学院民主管理水平，完善各类监督制度，顺畅师生利益表达的机制和渠道。加大教学质量监控与保障的力度，坚持听课制度和评教反馈制度，组织专家定期检查教师的教改措施与教学效果。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发挥专门机构指导作用。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尊重学术规律，倡导学术自由探索，营造宽松和谐环境，充分发挥安定书院教学委员会、实验班所在专业指导委员会在发展规划、专业培养、课程体系等重大事务管理中的指导和监督作用，确保各项具体目标的实现。</w:t>
      </w:r>
    </w:p>
    <w:p>
      <w:pPr>
        <w:spacing w:line="520" w:lineRule="exact"/>
        <w:ind w:left="71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六、实施条件与保障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" w:hAnsi="楷体" w:eastAsia="楷体" w:cs="仿宋_GB2312"/>
          <w:b/>
          <w:color w:val="auto"/>
          <w:sz w:val="32"/>
          <w:szCs w:val="32"/>
        </w:rPr>
        <w:t>（一）加强组织领导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成立“十四五”规划实施工作领导小组，负责规划贯彻落实的指导、督促、统筹、协调等工作。学院各项工作以学校“十四五”规划和此规划为依据，制定年度工作实施计划，编制工作时间表，按期保质保量完成各项任务，同时根据学校发展形势和学院实际情况，适时提出规划调整方案。要通过专题学习、交流座谈等形式，组织学院教工和学生深入学习规划基本内容和主要精神，深刻理解学校的目标定位和学院各项工作的战略部署。</w:t>
      </w:r>
    </w:p>
    <w:p>
      <w:pPr>
        <w:pStyle w:val="4"/>
        <w:shd w:val="clear" w:color="auto" w:fill="FFFFFF"/>
        <w:spacing w:after="0" w:line="520" w:lineRule="exact"/>
        <w:ind w:left="0" w:right="0" w:firstLine="634"/>
        <w:rPr>
          <w:rFonts w:ascii="楷体" w:hAnsi="楷体" w:eastAsia="楷体" w:cs="仿宋_GB2312"/>
          <w:b/>
          <w:color w:val="auto"/>
          <w:sz w:val="32"/>
          <w:szCs w:val="32"/>
        </w:rPr>
      </w:pPr>
      <w:r>
        <w:rPr>
          <w:rFonts w:hint="eastAsia" w:ascii="楷体" w:hAnsi="楷体" w:eastAsia="楷体" w:cs="仿宋_GB2312"/>
          <w:b/>
          <w:color w:val="auto"/>
          <w:sz w:val="32"/>
          <w:szCs w:val="32"/>
        </w:rPr>
        <w:t>（二）加强制度建设</w:t>
      </w:r>
    </w:p>
    <w:p>
      <w:pPr>
        <w:spacing w:line="520" w:lineRule="exact"/>
        <w:ind w:firstLine="640" w:firstLineChars="200"/>
        <w:rPr>
          <w:rFonts w:ascii="楷体_GB2312" w:hAnsi="仿宋_GB2312" w:eastAsia="楷体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制度建设促规范管理，提升管理效能，保障各项举措有效落实。建立健全教学管理、学生管理等方面的规章制度和激励措施，制定完善实验班学生的选拔制度、动态调整制度、评奖评优制度、学分互换制度以及荣誉教师、荣誉导师、荣誉班主任的管理办法等。</w:t>
      </w:r>
    </w:p>
    <w:p>
      <w:pPr>
        <w:spacing w:line="520" w:lineRule="exact"/>
        <w:ind w:firstLine="643" w:firstLineChars="200"/>
        <w:rPr>
          <w:rFonts w:ascii="楷体_GB2312" w:hAnsi="仿宋_GB2312" w:eastAsia="楷体_GB2312" w:cs="仿宋_GB2312"/>
          <w:b/>
          <w:bCs/>
          <w:color w:val="00000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color w:val="000000"/>
          <w:sz w:val="32"/>
          <w:szCs w:val="32"/>
        </w:rPr>
        <w:t>（三）</w:t>
      </w:r>
      <w:r>
        <w:rPr>
          <w:rFonts w:hint="eastAsia" w:ascii="楷体" w:hAnsi="楷体" w:eastAsia="楷体" w:cs="仿宋_GB2312"/>
          <w:b/>
          <w:sz w:val="32"/>
          <w:szCs w:val="32"/>
        </w:rPr>
        <w:t>加强监督反馈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立健全效益评估和激励机制，实施规划目标考核和绩效考评，确保年度任务指标和此规划的年度指标任务得以完成。建立规划落实的跟踪制度，学院各内设机构要加强对规划实施情况的跟踪分析，及时反馈意见和建议。加强对规划实施的年度监测和中期评估，建立健全重要目标任务实时跟踪反馈机制，加强规划实施的动态管理。</w:t>
      </w:r>
    </w:p>
    <w:p>
      <w:pPr>
        <w:spacing w:line="520" w:lineRule="exact"/>
        <w:ind w:firstLine="643" w:firstLineChars="200"/>
        <w:rPr>
          <w:rFonts w:ascii="楷体_GB2312" w:hAnsi="仿宋_GB2312" w:eastAsia="楷体_GB2312" w:cs="仿宋_GB2312"/>
          <w:b/>
          <w:bCs/>
          <w:color w:val="00000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color w:val="000000"/>
          <w:sz w:val="32"/>
          <w:szCs w:val="32"/>
        </w:rPr>
        <w:t>（四）加强条件保障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工作职责和流程，做好政治保障、思想保障、队伍保障和资源保障，统筹协调规划实施的人力、物力、财力等条件。努力建设高素质干部队伍，突出政治标准，强化实绩导向；多渠道筹措资金，加大经费投入，不断改善条件并合理配置资源；深化开放合作，探索优势互补、资源共享、互利共赢的共建模式，为规划的落实提供有力支持和有效保障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43D"/>
    <w:rsid w:val="00014368"/>
    <w:rsid w:val="00026527"/>
    <w:rsid w:val="00045E82"/>
    <w:rsid w:val="00051A09"/>
    <w:rsid w:val="000704DE"/>
    <w:rsid w:val="00073E3F"/>
    <w:rsid w:val="00081EFB"/>
    <w:rsid w:val="00096762"/>
    <w:rsid w:val="000B35F3"/>
    <w:rsid w:val="000D273C"/>
    <w:rsid w:val="000E4ACD"/>
    <w:rsid w:val="000F0462"/>
    <w:rsid w:val="000F2232"/>
    <w:rsid w:val="000F32DF"/>
    <w:rsid w:val="00117168"/>
    <w:rsid w:val="001243BB"/>
    <w:rsid w:val="00125967"/>
    <w:rsid w:val="0013039C"/>
    <w:rsid w:val="00141E73"/>
    <w:rsid w:val="001503C6"/>
    <w:rsid w:val="00151E3B"/>
    <w:rsid w:val="00172A27"/>
    <w:rsid w:val="00172F5F"/>
    <w:rsid w:val="00183C76"/>
    <w:rsid w:val="001951DB"/>
    <w:rsid w:val="001A237B"/>
    <w:rsid w:val="001A2D60"/>
    <w:rsid w:val="001D07B7"/>
    <w:rsid w:val="001E101A"/>
    <w:rsid w:val="001E1945"/>
    <w:rsid w:val="001F0DE6"/>
    <w:rsid w:val="00201EF2"/>
    <w:rsid w:val="002061D3"/>
    <w:rsid w:val="002125CD"/>
    <w:rsid w:val="00217D9B"/>
    <w:rsid w:val="0023762A"/>
    <w:rsid w:val="00246C2D"/>
    <w:rsid w:val="002C615C"/>
    <w:rsid w:val="002E41FC"/>
    <w:rsid w:val="0031658E"/>
    <w:rsid w:val="00325B21"/>
    <w:rsid w:val="00326CC0"/>
    <w:rsid w:val="00340307"/>
    <w:rsid w:val="0038068C"/>
    <w:rsid w:val="00390F82"/>
    <w:rsid w:val="00394653"/>
    <w:rsid w:val="003B30D3"/>
    <w:rsid w:val="003B59F0"/>
    <w:rsid w:val="003B6832"/>
    <w:rsid w:val="003C0EA1"/>
    <w:rsid w:val="003C36C9"/>
    <w:rsid w:val="003F062B"/>
    <w:rsid w:val="00411D2E"/>
    <w:rsid w:val="0041322D"/>
    <w:rsid w:val="004346FE"/>
    <w:rsid w:val="00436D35"/>
    <w:rsid w:val="00442A04"/>
    <w:rsid w:val="00453B58"/>
    <w:rsid w:val="004842EA"/>
    <w:rsid w:val="004903C3"/>
    <w:rsid w:val="004A1ADC"/>
    <w:rsid w:val="004B2F0B"/>
    <w:rsid w:val="004B3A0D"/>
    <w:rsid w:val="004E0AD1"/>
    <w:rsid w:val="004F323F"/>
    <w:rsid w:val="004F4992"/>
    <w:rsid w:val="00503EE6"/>
    <w:rsid w:val="00505947"/>
    <w:rsid w:val="005123E4"/>
    <w:rsid w:val="005169F7"/>
    <w:rsid w:val="00524566"/>
    <w:rsid w:val="00525E8D"/>
    <w:rsid w:val="00535BF8"/>
    <w:rsid w:val="005505CE"/>
    <w:rsid w:val="005854E1"/>
    <w:rsid w:val="00586C1C"/>
    <w:rsid w:val="005B3836"/>
    <w:rsid w:val="005D4B3E"/>
    <w:rsid w:val="005F228C"/>
    <w:rsid w:val="00603125"/>
    <w:rsid w:val="00604724"/>
    <w:rsid w:val="00614D2C"/>
    <w:rsid w:val="00635805"/>
    <w:rsid w:val="006419A5"/>
    <w:rsid w:val="006557FF"/>
    <w:rsid w:val="006575F5"/>
    <w:rsid w:val="006751A2"/>
    <w:rsid w:val="006A75A4"/>
    <w:rsid w:val="006A766E"/>
    <w:rsid w:val="006B1225"/>
    <w:rsid w:val="006E5B26"/>
    <w:rsid w:val="006F0731"/>
    <w:rsid w:val="00701E8B"/>
    <w:rsid w:val="00702501"/>
    <w:rsid w:val="00747D5A"/>
    <w:rsid w:val="00753BFC"/>
    <w:rsid w:val="00756CDD"/>
    <w:rsid w:val="00762B17"/>
    <w:rsid w:val="007708C0"/>
    <w:rsid w:val="007762B9"/>
    <w:rsid w:val="00794CAD"/>
    <w:rsid w:val="007B1496"/>
    <w:rsid w:val="007B748E"/>
    <w:rsid w:val="007C1315"/>
    <w:rsid w:val="007C152F"/>
    <w:rsid w:val="007C22F2"/>
    <w:rsid w:val="007E33AA"/>
    <w:rsid w:val="007E45E8"/>
    <w:rsid w:val="0080352E"/>
    <w:rsid w:val="00807B59"/>
    <w:rsid w:val="0081310E"/>
    <w:rsid w:val="00843B10"/>
    <w:rsid w:val="008578C7"/>
    <w:rsid w:val="008715CE"/>
    <w:rsid w:val="008756D5"/>
    <w:rsid w:val="00892EE9"/>
    <w:rsid w:val="008D1754"/>
    <w:rsid w:val="008E5172"/>
    <w:rsid w:val="00903FE1"/>
    <w:rsid w:val="00906972"/>
    <w:rsid w:val="00906E24"/>
    <w:rsid w:val="00920F47"/>
    <w:rsid w:val="0094746E"/>
    <w:rsid w:val="00955747"/>
    <w:rsid w:val="00964DD9"/>
    <w:rsid w:val="00974D7E"/>
    <w:rsid w:val="00993B3E"/>
    <w:rsid w:val="00995DEC"/>
    <w:rsid w:val="009A6BED"/>
    <w:rsid w:val="009B13A5"/>
    <w:rsid w:val="009B5A64"/>
    <w:rsid w:val="009C48F5"/>
    <w:rsid w:val="009E1AFA"/>
    <w:rsid w:val="009E55C3"/>
    <w:rsid w:val="009F1057"/>
    <w:rsid w:val="009F72F5"/>
    <w:rsid w:val="00A23C64"/>
    <w:rsid w:val="00A258E4"/>
    <w:rsid w:val="00A27BDF"/>
    <w:rsid w:val="00A41B1F"/>
    <w:rsid w:val="00A4239D"/>
    <w:rsid w:val="00A462C4"/>
    <w:rsid w:val="00A47971"/>
    <w:rsid w:val="00A673CA"/>
    <w:rsid w:val="00A705B9"/>
    <w:rsid w:val="00A769DB"/>
    <w:rsid w:val="00A77E03"/>
    <w:rsid w:val="00A977C1"/>
    <w:rsid w:val="00AB68A1"/>
    <w:rsid w:val="00AD1F22"/>
    <w:rsid w:val="00AF14B1"/>
    <w:rsid w:val="00AF5370"/>
    <w:rsid w:val="00AF6DD9"/>
    <w:rsid w:val="00B04B64"/>
    <w:rsid w:val="00B11C20"/>
    <w:rsid w:val="00B44DA4"/>
    <w:rsid w:val="00B56328"/>
    <w:rsid w:val="00B567EA"/>
    <w:rsid w:val="00B66D47"/>
    <w:rsid w:val="00B8074B"/>
    <w:rsid w:val="00BB47E7"/>
    <w:rsid w:val="00BB7859"/>
    <w:rsid w:val="00BC017B"/>
    <w:rsid w:val="00BC17FF"/>
    <w:rsid w:val="00BD2195"/>
    <w:rsid w:val="00BE28B2"/>
    <w:rsid w:val="00BE6F99"/>
    <w:rsid w:val="00BF016A"/>
    <w:rsid w:val="00C06FD7"/>
    <w:rsid w:val="00C37E99"/>
    <w:rsid w:val="00C42992"/>
    <w:rsid w:val="00C53197"/>
    <w:rsid w:val="00C75F50"/>
    <w:rsid w:val="00C77765"/>
    <w:rsid w:val="00C80259"/>
    <w:rsid w:val="00CA4AA6"/>
    <w:rsid w:val="00CA4ACF"/>
    <w:rsid w:val="00CA5FE3"/>
    <w:rsid w:val="00CB2BD9"/>
    <w:rsid w:val="00CB48E0"/>
    <w:rsid w:val="00CD54D6"/>
    <w:rsid w:val="00CE389A"/>
    <w:rsid w:val="00CE563A"/>
    <w:rsid w:val="00CF2978"/>
    <w:rsid w:val="00D01F5C"/>
    <w:rsid w:val="00D06C24"/>
    <w:rsid w:val="00D0738F"/>
    <w:rsid w:val="00D07A08"/>
    <w:rsid w:val="00D344B3"/>
    <w:rsid w:val="00D361EC"/>
    <w:rsid w:val="00D41218"/>
    <w:rsid w:val="00D424F7"/>
    <w:rsid w:val="00D6254D"/>
    <w:rsid w:val="00D668D1"/>
    <w:rsid w:val="00D81127"/>
    <w:rsid w:val="00D85A8B"/>
    <w:rsid w:val="00DB1B9A"/>
    <w:rsid w:val="00DC6DA9"/>
    <w:rsid w:val="00DD061A"/>
    <w:rsid w:val="00DE0D61"/>
    <w:rsid w:val="00DF6856"/>
    <w:rsid w:val="00E1167B"/>
    <w:rsid w:val="00E26756"/>
    <w:rsid w:val="00E35D54"/>
    <w:rsid w:val="00E4336A"/>
    <w:rsid w:val="00E501A4"/>
    <w:rsid w:val="00E74C47"/>
    <w:rsid w:val="00EA1845"/>
    <w:rsid w:val="00EB4861"/>
    <w:rsid w:val="00EC28C4"/>
    <w:rsid w:val="00EE32B1"/>
    <w:rsid w:val="00F22747"/>
    <w:rsid w:val="00F23357"/>
    <w:rsid w:val="00F31173"/>
    <w:rsid w:val="00F42ACC"/>
    <w:rsid w:val="00F537C5"/>
    <w:rsid w:val="00F606B1"/>
    <w:rsid w:val="00F61B24"/>
    <w:rsid w:val="00F66ACD"/>
    <w:rsid w:val="00F7230E"/>
    <w:rsid w:val="00F80E0A"/>
    <w:rsid w:val="00F855C3"/>
    <w:rsid w:val="00F857CF"/>
    <w:rsid w:val="00FB4183"/>
    <w:rsid w:val="00FC4474"/>
    <w:rsid w:val="00FD6368"/>
    <w:rsid w:val="00FF59F3"/>
    <w:rsid w:val="0245544A"/>
    <w:rsid w:val="0D39126B"/>
    <w:rsid w:val="0E345E86"/>
    <w:rsid w:val="10C17581"/>
    <w:rsid w:val="129250A7"/>
    <w:rsid w:val="14D8022C"/>
    <w:rsid w:val="190127BD"/>
    <w:rsid w:val="3096494F"/>
    <w:rsid w:val="531D5AD2"/>
    <w:rsid w:val="5FA30612"/>
    <w:rsid w:val="61A86E07"/>
    <w:rsid w:val="76147B7E"/>
    <w:rsid w:val="764121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after="3" w:line="347" w:lineRule="auto"/>
      <w:ind w:left="10" w:right="155" w:hanging="10"/>
      <w:jc w:val="left"/>
    </w:pPr>
    <w:rPr>
      <w:rFonts w:ascii="微软雅黑" w:hAnsi="微软雅黑" w:eastAsia="微软雅黑" w:cs="微软雅黑"/>
      <w:color w:val="000000"/>
      <w:sz w:val="24"/>
      <w:szCs w:val="22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1">
    <w:name w:val="bjh-p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ABA485-1054-4224-8FD8-DE660AA74E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686</Words>
  <Characters>3916</Characters>
  <Lines>32</Lines>
  <Paragraphs>9</Paragraphs>
  <TotalTime>1434</TotalTime>
  <ScaleCrop>false</ScaleCrop>
  <LinksUpToDate>false</LinksUpToDate>
  <CharactersWithSpaces>4593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2021-05-04T02:21:00Z</dcterms:created>
  <dc:creator>DMT</dc:creator>
  <cp:lastModifiedBy>阳光</cp:lastModifiedBy>
  <dcterms:modified xsi:type="dcterms:W3CDTF">2022-01-06T07:16:03Z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E030A025E2D44A1CA5E2F70500CCD8F0</vt:lpwstr>
  </property>
</Properties>
</file>