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sz w:val="28"/>
          <w:szCs w:val="28"/>
        </w:rPr>
      </w:pPr>
    </w:p>
    <w:p>
      <w:pPr>
        <w:jc w:val="center"/>
        <w:rPr>
          <w:rFonts w:hint="eastAsia" w:ascii="宋体" w:hAnsi="宋体"/>
          <w:sz w:val="28"/>
          <w:szCs w:val="28"/>
        </w:rPr>
      </w:pPr>
      <w:r>
        <w:rPr>
          <w:rFonts w:hint="eastAsia" w:ascii="宋体" w:hAnsi="宋体"/>
          <w:sz w:val="28"/>
          <w:szCs w:val="28"/>
        </w:rPr>
        <w:t xml:space="preserve"> </w:t>
      </w:r>
    </w:p>
    <w:p>
      <w:pPr>
        <w:jc w:val="center"/>
        <w:rPr>
          <w:rFonts w:hint="eastAsia" w:ascii="宋体" w:hAnsi="宋体"/>
          <w:sz w:val="28"/>
          <w:szCs w:val="28"/>
        </w:rPr>
      </w:pPr>
      <w:r>
        <w:rPr>
          <w:rFonts w:hint="eastAsia" w:ascii="宋体" w:hAnsi="宋体"/>
          <w:sz w:val="28"/>
          <w:szCs w:val="28"/>
        </w:rPr>
        <w:t xml:space="preserve"> </w:t>
      </w:r>
    </w:p>
    <w:p>
      <w:pPr>
        <w:spacing w:line="840" w:lineRule="auto"/>
        <w:rPr>
          <w:rFonts w:hint="eastAsia" w:ascii="宋体" w:hAnsi="宋体"/>
          <w:sz w:val="28"/>
          <w:szCs w:val="28"/>
        </w:rPr>
      </w:pPr>
      <w:r>
        <w:rPr>
          <w:rFonts w:hint="eastAsia" w:ascii="宋体" w:hAnsi="宋体"/>
          <w:sz w:val="28"/>
          <w:szCs w:val="28"/>
        </w:rPr>
        <w:t xml:space="preserve"> </w:t>
      </w:r>
    </w:p>
    <w:p>
      <w:pPr>
        <w:spacing w:line="600" w:lineRule="exact"/>
        <w:jc w:val="center"/>
        <w:rPr>
          <w:rFonts w:hint="eastAsia" w:ascii="仿宋" w:hAnsi="仿宋" w:eastAsia="仿宋" w:cs="Arial"/>
          <w:sz w:val="32"/>
          <w:szCs w:val="32"/>
        </w:rPr>
      </w:pPr>
      <w:r>
        <w:rPr>
          <w:rFonts w:hint="eastAsia" w:ascii="仿宋_GB2312" w:hAnsi="仿宋_GB2312" w:eastAsia="仿宋_GB2312" w:cs="仿宋_GB2312"/>
          <w:sz w:val="32"/>
          <w:szCs w:val="32"/>
        </w:rPr>
        <w:t>湖师继教院发〔</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45</w:t>
      </w:r>
      <w:r>
        <w:rPr>
          <w:rFonts w:hint="eastAsia" w:ascii="仿宋_GB2312" w:hAnsi="仿宋_GB2312" w:eastAsia="仿宋_GB2312" w:cs="仿宋_GB2312"/>
          <w:sz w:val="32"/>
          <w:szCs w:val="32"/>
        </w:rPr>
        <w:t>号</w:t>
      </w:r>
      <w:r>
        <w:rPr>
          <w:rFonts w:hint="eastAsia" w:ascii="仿宋" w:hAnsi="仿宋" w:eastAsia="仿宋" w:cs="Arial"/>
          <w:sz w:val="32"/>
          <w:szCs w:val="32"/>
        </w:rPr>
        <w:t xml:space="preserve">  </w:t>
      </w:r>
    </w:p>
    <w:p>
      <w:pPr>
        <w:spacing w:line="600" w:lineRule="exact"/>
        <w:jc w:val="center"/>
        <w:rPr>
          <w:rFonts w:hint="eastAsia" w:ascii="仿宋" w:hAnsi="仿宋" w:eastAsia="仿宋" w:cs="Arial"/>
          <w:sz w:val="32"/>
          <w:szCs w:val="32"/>
        </w:rPr>
      </w:pPr>
    </w:p>
    <w:p>
      <w:pPr>
        <w:spacing w:line="720" w:lineRule="exact"/>
        <w:jc w:val="center"/>
        <w:rPr>
          <w:rFonts w:hint="eastAsia" w:ascii="方正小标宋简体" w:hAnsi="方正小标宋简体" w:eastAsia="方正小标宋简体" w:cs="方正小标宋简体"/>
          <w:b w:val="0"/>
          <w:bCs w:val="0"/>
          <w:spacing w:val="-8"/>
          <w:sz w:val="44"/>
          <w:szCs w:val="44"/>
        </w:rPr>
      </w:pPr>
      <w:bookmarkStart w:id="0" w:name="_GoBack"/>
      <w:r>
        <w:rPr>
          <w:rFonts w:hint="eastAsia" w:ascii="方正小标宋简体" w:hAnsi="方正小标宋简体" w:eastAsia="方正小标宋简体" w:cs="方正小标宋简体"/>
          <w:b w:val="0"/>
          <w:bCs w:val="0"/>
          <w:spacing w:val="-8"/>
          <w:sz w:val="44"/>
          <w:szCs w:val="44"/>
        </w:rPr>
        <w:t>继续教育学院“十四五”发展规划</w:t>
      </w:r>
    </w:p>
    <w:bookmarkEnd w:id="0"/>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val="0"/>
          <w:bCs/>
          <w:color w:val="000000"/>
          <w:sz w:val="32"/>
          <w:szCs w:val="32"/>
          <w:highlight w:val="none"/>
        </w:rPr>
      </w:pP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“十四五”</w:t>
      </w:r>
      <w:r>
        <w:rPr>
          <w:rFonts w:hint="eastAsia" w:ascii="仿宋_GB2312" w:hAnsi="宋体" w:eastAsia="仿宋_GB2312"/>
          <w:sz w:val="32"/>
          <w:szCs w:val="32"/>
          <w:lang w:eastAsia="zh-CN"/>
        </w:rPr>
        <w:t>是国家“</w:t>
      </w:r>
      <w:r>
        <w:rPr>
          <w:rFonts w:hint="eastAsia" w:ascii="仿宋_GB2312" w:hAnsi="宋体" w:eastAsia="仿宋_GB2312"/>
          <w:sz w:val="32"/>
          <w:szCs w:val="32"/>
        </w:rPr>
        <w:t>完善终身学习体系，建设学习型社会</w:t>
      </w:r>
      <w:r>
        <w:rPr>
          <w:rFonts w:hint="eastAsia" w:ascii="仿宋_GB2312" w:hAnsi="宋体" w:eastAsia="仿宋_GB2312"/>
          <w:sz w:val="32"/>
          <w:szCs w:val="32"/>
          <w:lang w:val="en-US" w:eastAsia="zh-CN"/>
        </w:rPr>
        <w:t>”</w:t>
      </w:r>
      <w:r>
        <w:rPr>
          <w:rFonts w:hint="eastAsia" w:ascii="仿宋_GB2312" w:hAnsi="宋体" w:eastAsia="仿宋_GB2312"/>
          <w:sz w:val="32"/>
          <w:szCs w:val="32"/>
          <w:lang w:eastAsia="zh-CN"/>
        </w:rPr>
        <w:t>的重要时期，</w:t>
      </w:r>
      <w:r>
        <w:rPr>
          <w:rFonts w:hint="eastAsia" w:ascii="仿宋_GB2312" w:hAnsi="宋体" w:eastAsia="仿宋_GB2312"/>
          <w:sz w:val="32"/>
          <w:szCs w:val="32"/>
        </w:rPr>
        <w:t>是学校向着建成高水平“湖州师范大学”目标迈进的关键阶段。</w:t>
      </w:r>
      <w:r>
        <w:rPr>
          <w:rFonts w:hint="eastAsia" w:ascii="仿宋_GB2312" w:hAnsi="宋体" w:eastAsia="仿宋_GB2312"/>
          <w:sz w:val="32"/>
          <w:szCs w:val="32"/>
          <w:lang w:eastAsia="zh-CN"/>
        </w:rPr>
        <w:t>根据</w:t>
      </w:r>
      <w:r>
        <w:rPr>
          <w:rFonts w:hint="eastAsia" w:ascii="仿宋_GB2312" w:hAnsi="宋体" w:eastAsia="仿宋_GB2312"/>
          <w:sz w:val="32"/>
          <w:szCs w:val="32"/>
        </w:rPr>
        <w:t>《湖州师范学院“十四五”规划纲要（2021-2025年）》的目标定位和战略部署，为明确继续教育学院“十四五”期间的发展目标、工作思路和实施举措，</w:t>
      </w:r>
      <w:r>
        <w:rPr>
          <w:rFonts w:hint="eastAsia" w:ascii="仿宋_GB2312" w:hAnsi="宋体" w:eastAsia="仿宋_GB2312"/>
          <w:sz w:val="32"/>
          <w:szCs w:val="32"/>
          <w:lang w:eastAsia="zh-CN"/>
        </w:rPr>
        <w:t>全面推动继续教育工作平稳、健康、高质量、可持续发展</w:t>
      </w:r>
      <w:r>
        <w:rPr>
          <w:rFonts w:hint="eastAsia" w:ascii="仿宋_GB2312" w:hAnsi="宋体" w:eastAsia="仿宋_GB2312"/>
          <w:sz w:val="32"/>
          <w:szCs w:val="32"/>
        </w:rPr>
        <w:t>，制定本规划。</w:t>
      </w:r>
    </w:p>
    <w:p>
      <w:pPr>
        <w:keepNext w:val="0"/>
        <w:keepLines w:val="0"/>
        <w:pageBreakBefore w:val="0"/>
        <w:widowControl w:val="0"/>
        <w:kinsoku/>
        <w:wordWrap/>
        <w:overflowPunct/>
        <w:topLinePunct w:val="0"/>
        <w:autoSpaceDE/>
        <w:autoSpaceDN/>
        <w:bidi w:val="0"/>
        <w:adjustRightInd w:val="0"/>
        <w:snapToGrid w:val="0"/>
        <w:spacing w:line="560" w:lineRule="exact"/>
        <w:ind w:firstLine="627" w:firstLineChars="196"/>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一、现实基础和面临形势</w:t>
      </w:r>
    </w:p>
    <w:p>
      <w:pPr>
        <w:keepNext w:val="0"/>
        <w:keepLines w:val="0"/>
        <w:pageBreakBefore w:val="0"/>
        <w:widowControl w:val="0"/>
        <w:kinsoku/>
        <w:wordWrap/>
        <w:overflowPunct/>
        <w:topLinePunct w:val="0"/>
        <w:autoSpaceDE/>
        <w:autoSpaceDN/>
        <w:bidi w:val="0"/>
        <w:adjustRightInd w:val="0"/>
        <w:snapToGrid w:val="0"/>
        <w:spacing w:line="560" w:lineRule="exact"/>
        <w:ind w:firstLine="630" w:firstLineChars="196"/>
        <w:textAlignment w:val="auto"/>
        <w:rPr>
          <w:rFonts w:hint="eastAsia" w:ascii="楷体" w:hAnsi="楷体" w:eastAsia="楷体" w:cs="黑体"/>
          <w:b/>
          <w:sz w:val="32"/>
          <w:szCs w:val="32"/>
        </w:rPr>
      </w:pPr>
      <w:r>
        <w:rPr>
          <w:rFonts w:hint="eastAsia" w:ascii="楷体" w:hAnsi="楷体" w:eastAsia="楷体" w:cs="黑体"/>
          <w:b/>
          <w:sz w:val="32"/>
          <w:szCs w:val="32"/>
        </w:rPr>
        <w:t>（一）“十三五”</w:t>
      </w:r>
      <w:r>
        <w:rPr>
          <w:rFonts w:hint="eastAsia" w:ascii="楷体" w:hAnsi="楷体" w:eastAsia="楷体" w:cs="黑体"/>
          <w:b/>
          <w:sz w:val="32"/>
          <w:szCs w:val="32"/>
          <w:lang w:eastAsia="zh-CN"/>
        </w:rPr>
        <w:t>的</w:t>
      </w:r>
      <w:r>
        <w:rPr>
          <w:rFonts w:hint="eastAsia" w:ascii="楷体" w:hAnsi="楷体" w:eastAsia="楷体" w:cs="黑体"/>
          <w:b/>
          <w:sz w:val="32"/>
          <w:szCs w:val="32"/>
        </w:rPr>
        <w:t>主要成绩</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宋体" w:eastAsia="仿宋_GB2312"/>
          <w:sz w:val="32"/>
          <w:szCs w:val="32"/>
        </w:rPr>
      </w:pPr>
      <w:r>
        <w:rPr>
          <w:rFonts w:hint="eastAsia" w:ascii="仿宋_GB2312" w:hAnsi="宋体" w:eastAsia="仿宋_GB2312"/>
          <w:sz w:val="32"/>
          <w:szCs w:val="32"/>
        </w:rPr>
        <w:t>“十三五”期间，继续教育学院在学校的正确领导下，紧紧依托学校优势资源，不断扩大</w:t>
      </w:r>
      <w:r>
        <w:rPr>
          <w:rFonts w:hint="eastAsia" w:ascii="仿宋_GB2312" w:hAnsi="宋体" w:eastAsia="仿宋_GB2312"/>
          <w:sz w:val="32"/>
          <w:szCs w:val="32"/>
          <w:lang w:eastAsia="zh-CN"/>
        </w:rPr>
        <w:t>教育</w:t>
      </w:r>
      <w:r>
        <w:rPr>
          <w:rFonts w:hint="eastAsia" w:ascii="仿宋_GB2312" w:hAnsi="宋体" w:eastAsia="仿宋_GB2312"/>
          <w:sz w:val="32"/>
          <w:szCs w:val="32"/>
        </w:rPr>
        <w:t>规模，</w:t>
      </w:r>
      <w:r>
        <w:rPr>
          <w:rFonts w:hint="eastAsia" w:ascii="仿宋_GB2312" w:hAnsi="宋体" w:eastAsia="仿宋_GB2312"/>
          <w:sz w:val="32"/>
          <w:szCs w:val="32"/>
          <w:lang w:eastAsia="zh-CN"/>
        </w:rPr>
        <w:t>持续</w:t>
      </w:r>
      <w:r>
        <w:rPr>
          <w:rFonts w:hint="eastAsia" w:ascii="仿宋_GB2312" w:hAnsi="宋体" w:eastAsia="仿宋_GB2312"/>
          <w:sz w:val="32"/>
          <w:szCs w:val="32"/>
        </w:rPr>
        <w:t>提高教学质量</w:t>
      </w:r>
      <w:r>
        <w:rPr>
          <w:rFonts w:hint="eastAsia" w:ascii="仿宋_GB2312" w:hAnsi="宋体" w:eastAsia="仿宋_GB2312"/>
          <w:sz w:val="32"/>
          <w:szCs w:val="32"/>
          <w:lang w:eastAsia="zh-CN"/>
        </w:rPr>
        <w:t>，稳步提升</w:t>
      </w:r>
      <w:r>
        <w:rPr>
          <w:rFonts w:hint="eastAsia" w:ascii="仿宋_GB2312" w:hAnsi="宋体" w:eastAsia="仿宋_GB2312"/>
          <w:sz w:val="32"/>
          <w:szCs w:val="32"/>
        </w:rPr>
        <w:t>办学效益，积极为地方经济社会发展服务，</w:t>
      </w:r>
      <w:r>
        <w:rPr>
          <w:rFonts w:hint="eastAsia" w:ascii="仿宋_GB2312" w:hAnsi="宋体" w:eastAsia="仿宋_GB2312"/>
          <w:sz w:val="32"/>
          <w:szCs w:val="32"/>
          <w:lang w:eastAsia="zh-CN"/>
        </w:rPr>
        <w:t>促进</w:t>
      </w:r>
      <w:r>
        <w:rPr>
          <w:rFonts w:hint="eastAsia" w:ascii="仿宋_GB2312" w:hAnsi="宋体" w:eastAsia="仿宋_GB2312"/>
          <w:sz w:val="32"/>
          <w:szCs w:val="32"/>
        </w:rPr>
        <w:t>学校继续教育事业取得长足发展。</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宋体" w:eastAsia="仿宋_GB2312"/>
          <w:sz w:val="32"/>
          <w:szCs w:val="32"/>
        </w:rPr>
      </w:pPr>
      <w:r>
        <w:rPr>
          <w:rFonts w:hint="eastAsia" w:ascii="仿宋_GB2312" w:hAnsi="宋体" w:eastAsia="仿宋_GB2312" w:cs="黑体"/>
          <w:b/>
          <w:sz w:val="32"/>
          <w:szCs w:val="32"/>
        </w:rPr>
        <w:t>1.任务指标超额完成。</w:t>
      </w:r>
      <w:r>
        <w:rPr>
          <w:rFonts w:hint="eastAsia" w:ascii="仿宋_GB2312" w:hAnsi="宋体" w:eastAsia="仿宋_GB2312"/>
          <w:sz w:val="32"/>
          <w:szCs w:val="32"/>
        </w:rPr>
        <w:t>“十三五”期间，学历继续教育共计招生7206人、毕业6733人；非学历继续教育共计举办各类培训项目800个，培训59300</w:t>
      </w:r>
      <w:r>
        <w:rPr>
          <w:rFonts w:hint="eastAsia" w:ascii="仿宋_GB2312" w:hAnsi="宋体" w:eastAsia="仿宋_GB2312"/>
          <w:sz w:val="32"/>
          <w:szCs w:val="32"/>
          <w:lang w:eastAsia="zh-CN"/>
        </w:rPr>
        <w:t>余</w:t>
      </w:r>
      <w:r>
        <w:rPr>
          <w:rFonts w:hint="eastAsia" w:ascii="仿宋_GB2312" w:hAnsi="宋体" w:eastAsia="仿宋_GB2312"/>
          <w:sz w:val="32"/>
          <w:szCs w:val="32"/>
        </w:rPr>
        <w:t>人次。五年来，学院共上交学校继续教育毛收入1.92亿元，上交学校管理费4300多万元（如表</w:t>
      </w:r>
      <w:r>
        <w:rPr>
          <w:rFonts w:hint="eastAsia" w:ascii="仿宋_GB2312" w:hAnsi="宋体" w:eastAsia="仿宋_GB2312"/>
          <w:sz w:val="32"/>
          <w:szCs w:val="32"/>
          <w:lang w:val="en-US" w:eastAsia="zh-CN"/>
        </w:rPr>
        <w:t>1</w:t>
      </w:r>
      <w:r>
        <w:rPr>
          <w:rFonts w:hint="eastAsia" w:ascii="仿宋_GB2312" w:hAnsi="宋体" w:eastAsia="仿宋_GB2312"/>
          <w:sz w:val="32"/>
          <w:szCs w:val="32"/>
        </w:rPr>
        <w:t>所示），相比“十二五”，继续教育毛收入递增116%，上交学校管理费递增87.4%（如表</w:t>
      </w:r>
      <w:r>
        <w:rPr>
          <w:rFonts w:hint="eastAsia" w:ascii="仿宋_GB2312" w:hAnsi="宋体" w:eastAsia="仿宋_GB2312"/>
          <w:sz w:val="32"/>
          <w:szCs w:val="32"/>
          <w:lang w:val="en-US" w:eastAsia="zh-CN"/>
        </w:rPr>
        <w:t>2</w:t>
      </w:r>
      <w:r>
        <w:rPr>
          <w:rFonts w:hint="eastAsia" w:ascii="仿宋_GB2312" w:hAnsi="宋体" w:eastAsia="仿宋_GB2312"/>
          <w:sz w:val="32"/>
          <w:szCs w:val="32"/>
        </w:rPr>
        <w:t>所示）。</w:t>
      </w:r>
    </w:p>
    <w:p>
      <w:pPr>
        <w:pageBreakBefore w:val="0"/>
        <w:kinsoku/>
        <w:wordWrap/>
        <w:overflowPunct/>
        <w:topLinePunct w:val="0"/>
        <w:autoSpaceDE/>
        <w:autoSpaceDN/>
        <w:bidi w:val="0"/>
        <w:adjustRightInd w:val="0"/>
        <w:snapToGrid w:val="0"/>
        <w:spacing w:line="560" w:lineRule="exact"/>
        <w:jc w:val="center"/>
        <w:rPr>
          <w:rFonts w:hint="eastAsia" w:ascii="仿宋_GB2312" w:hAnsi="宋体" w:eastAsia="仿宋_GB2312"/>
          <w:sz w:val="28"/>
          <w:szCs w:val="28"/>
        </w:rPr>
      </w:pPr>
      <w:r>
        <w:rPr>
          <w:rFonts w:hint="eastAsia" w:ascii="仿宋_GB2312" w:hAnsi="宋体" w:eastAsia="仿宋_GB2312" w:cs="宋体"/>
          <w:kern w:val="0"/>
          <w:sz w:val="28"/>
          <w:szCs w:val="28"/>
        </w:rPr>
        <w:t>表1：“十三五”</w:t>
      </w:r>
      <w:r>
        <w:rPr>
          <w:rFonts w:hint="eastAsia" w:ascii="仿宋_GB2312" w:hAnsi="宋体" w:eastAsia="仿宋_GB2312" w:cs="宋体"/>
          <w:kern w:val="0"/>
          <w:sz w:val="28"/>
          <w:szCs w:val="28"/>
          <w:lang w:eastAsia="zh-CN"/>
        </w:rPr>
        <w:t>期间</w:t>
      </w:r>
      <w:r>
        <w:rPr>
          <w:rFonts w:hint="eastAsia" w:ascii="仿宋_GB2312" w:hAnsi="宋体" w:eastAsia="仿宋_GB2312" w:cs="宋体"/>
          <w:kern w:val="0"/>
          <w:sz w:val="28"/>
          <w:szCs w:val="28"/>
        </w:rPr>
        <w:t>指标任务完成统计（单位：万元）</w:t>
      </w:r>
    </w:p>
    <w:tbl>
      <w:tblPr>
        <w:tblStyle w:val="10"/>
        <w:tblW w:w="6860" w:type="dxa"/>
        <w:jc w:val="center"/>
        <w:tblLayout w:type="autofit"/>
        <w:tblCellMar>
          <w:top w:w="0" w:type="dxa"/>
          <w:left w:w="108" w:type="dxa"/>
          <w:bottom w:w="0" w:type="dxa"/>
          <w:right w:w="108" w:type="dxa"/>
        </w:tblCellMar>
      </w:tblPr>
      <w:tblGrid>
        <w:gridCol w:w="1180"/>
        <w:gridCol w:w="1420"/>
        <w:gridCol w:w="1420"/>
        <w:gridCol w:w="1420"/>
        <w:gridCol w:w="1420"/>
      </w:tblGrid>
      <w:tr>
        <w:tblPrEx>
          <w:tblCellMar>
            <w:top w:w="0" w:type="dxa"/>
            <w:left w:w="108" w:type="dxa"/>
            <w:bottom w:w="0" w:type="dxa"/>
            <w:right w:w="108" w:type="dxa"/>
          </w:tblCellMar>
        </w:tblPrEx>
        <w:trPr>
          <w:trHeight w:val="505" w:hRule="exact"/>
          <w:jc w:val="center"/>
        </w:trPr>
        <w:tc>
          <w:tcPr>
            <w:tcW w:w="1180" w:type="dxa"/>
            <w:vMerge w:val="restart"/>
            <w:tcBorders>
              <w:top w:val="single" w:color="auto" w:sz="4" w:space="0"/>
              <w:left w:val="single" w:color="auto" w:sz="4" w:space="0"/>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年度</w:t>
            </w:r>
          </w:p>
        </w:tc>
        <w:tc>
          <w:tcPr>
            <w:tcW w:w="2840" w:type="dxa"/>
            <w:gridSpan w:val="2"/>
            <w:tcBorders>
              <w:top w:val="single" w:color="auto" w:sz="4" w:space="0"/>
              <w:left w:val="nil"/>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继续教育毛收入</w:t>
            </w:r>
          </w:p>
        </w:tc>
        <w:tc>
          <w:tcPr>
            <w:tcW w:w="2840" w:type="dxa"/>
            <w:gridSpan w:val="2"/>
            <w:tcBorders>
              <w:top w:val="single" w:color="auto" w:sz="4" w:space="0"/>
              <w:left w:val="nil"/>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上交学校管理费</w:t>
            </w:r>
          </w:p>
        </w:tc>
      </w:tr>
      <w:tr>
        <w:tblPrEx>
          <w:tblCellMar>
            <w:top w:w="0" w:type="dxa"/>
            <w:left w:w="108" w:type="dxa"/>
            <w:bottom w:w="0" w:type="dxa"/>
            <w:right w:w="108" w:type="dxa"/>
          </w:tblCellMar>
        </w:tblPrEx>
        <w:trPr>
          <w:trHeight w:val="505" w:hRule="exact"/>
          <w:jc w:val="center"/>
        </w:trPr>
        <w:tc>
          <w:tcPr>
            <w:tcW w:w="1180" w:type="dxa"/>
            <w:vMerge w:val="continue"/>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left"/>
              <w:rPr>
                <w:rFonts w:hint="eastAsia" w:ascii="仿宋_GB2312" w:hAnsi="宋体" w:eastAsia="仿宋_GB2312" w:cs="宋体"/>
                <w:b/>
                <w:bCs/>
                <w:kern w:val="0"/>
                <w:sz w:val="28"/>
                <w:szCs w:val="28"/>
              </w:rPr>
            </w:pPr>
          </w:p>
        </w:tc>
        <w:tc>
          <w:tcPr>
            <w:tcW w:w="1420" w:type="dxa"/>
            <w:tcBorders>
              <w:top w:val="nil"/>
              <w:left w:val="nil"/>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指标任务</w:t>
            </w:r>
          </w:p>
        </w:tc>
        <w:tc>
          <w:tcPr>
            <w:tcW w:w="1420" w:type="dxa"/>
            <w:tcBorders>
              <w:top w:val="nil"/>
              <w:left w:val="nil"/>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实际完成</w:t>
            </w:r>
          </w:p>
        </w:tc>
        <w:tc>
          <w:tcPr>
            <w:tcW w:w="1420" w:type="dxa"/>
            <w:tcBorders>
              <w:top w:val="nil"/>
              <w:left w:val="nil"/>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指标任务</w:t>
            </w:r>
          </w:p>
        </w:tc>
        <w:tc>
          <w:tcPr>
            <w:tcW w:w="1420" w:type="dxa"/>
            <w:tcBorders>
              <w:top w:val="nil"/>
              <w:left w:val="nil"/>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实际完成</w:t>
            </w:r>
          </w:p>
        </w:tc>
      </w:tr>
      <w:tr>
        <w:tblPrEx>
          <w:tblCellMar>
            <w:top w:w="0" w:type="dxa"/>
            <w:left w:w="108" w:type="dxa"/>
            <w:bottom w:w="0" w:type="dxa"/>
            <w:right w:w="108" w:type="dxa"/>
          </w:tblCellMar>
        </w:tblPrEx>
        <w:trPr>
          <w:trHeight w:val="505" w:hRule="exact"/>
          <w:jc w:val="center"/>
        </w:trPr>
        <w:tc>
          <w:tcPr>
            <w:tcW w:w="1180" w:type="dxa"/>
            <w:tcBorders>
              <w:top w:val="nil"/>
              <w:left w:val="single" w:color="auto" w:sz="4" w:space="0"/>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2016年</w:t>
            </w:r>
          </w:p>
        </w:tc>
        <w:tc>
          <w:tcPr>
            <w:tcW w:w="1420" w:type="dxa"/>
            <w:tcBorders>
              <w:top w:val="nil"/>
              <w:left w:val="nil"/>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3500</w:t>
            </w:r>
          </w:p>
        </w:tc>
        <w:tc>
          <w:tcPr>
            <w:tcW w:w="1420" w:type="dxa"/>
            <w:tcBorders>
              <w:top w:val="nil"/>
              <w:left w:val="nil"/>
              <w:bottom w:val="single" w:color="auto" w:sz="4" w:space="0"/>
              <w:right w:val="single" w:color="auto" w:sz="4" w:space="0"/>
            </w:tcBorders>
            <w:noWrap/>
            <w:vAlign w:val="top"/>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3559</w:t>
            </w:r>
          </w:p>
        </w:tc>
        <w:tc>
          <w:tcPr>
            <w:tcW w:w="1420" w:type="dxa"/>
            <w:tcBorders>
              <w:top w:val="nil"/>
              <w:left w:val="nil"/>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670</w:t>
            </w:r>
          </w:p>
        </w:tc>
        <w:tc>
          <w:tcPr>
            <w:tcW w:w="1420" w:type="dxa"/>
            <w:tcBorders>
              <w:top w:val="nil"/>
              <w:left w:val="nil"/>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694</w:t>
            </w:r>
          </w:p>
        </w:tc>
      </w:tr>
      <w:tr>
        <w:tblPrEx>
          <w:tblCellMar>
            <w:top w:w="0" w:type="dxa"/>
            <w:left w:w="108" w:type="dxa"/>
            <w:bottom w:w="0" w:type="dxa"/>
            <w:right w:w="108" w:type="dxa"/>
          </w:tblCellMar>
        </w:tblPrEx>
        <w:trPr>
          <w:trHeight w:val="505" w:hRule="exact"/>
          <w:jc w:val="center"/>
        </w:trPr>
        <w:tc>
          <w:tcPr>
            <w:tcW w:w="1180" w:type="dxa"/>
            <w:tcBorders>
              <w:top w:val="nil"/>
              <w:left w:val="single" w:color="auto" w:sz="4" w:space="0"/>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2017年</w:t>
            </w:r>
          </w:p>
        </w:tc>
        <w:tc>
          <w:tcPr>
            <w:tcW w:w="1420" w:type="dxa"/>
            <w:tcBorders>
              <w:top w:val="nil"/>
              <w:left w:val="nil"/>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3700</w:t>
            </w:r>
          </w:p>
        </w:tc>
        <w:tc>
          <w:tcPr>
            <w:tcW w:w="1420" w:type="dxa"/>
            <w:tcBorders>
              <w:top w:val="nil"/>
              <w:left w:val="nil"/>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3751</w:t>
            </w:r>
          </w:p>
        </w:tc>
        <w:tc>
          <w:tcPr>
            <w:tcW w:w="1420" w:type="dxa"/>
            <w:tcBorders>
              <w:top w:val="nil"/>
              <w:left w:val="nil"/>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700</w:t>
            </w:r>
          </w:p>
        </w:tc>
        <w:tc>
          <w:tcPr>
            <w:tcW w:w="1420" w:type="dxa"/>
            <w:tcBorders>
              <w:top w:val="nil"/>
              <w:left w:val="nil"/>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744</w:t>
            </w:r>
          </w:p>
        </w:tc>
      </w:tr>
      <w:tr>
        <w:tblPrEx>
          <w:tblCellMar>
            <w:top w:w="0" w:type="dxa"/>
            <w:left w:w="108" w:type="dxa"/>
            <w:bottom w:w="0" w:type="dxa"/>
            <w:right w:w="108" w:type="dxa"/>
          </w:tblCellMar>
        </w:tblPrEx>
        <w:trPr>
          <w:trHeight w:val="505" w:hRule="exact"/>
          <w:jc w:val="center"/>
        </w:trPr>
        <w:tc>
          <w:tcPr>
            <w:tcW w:w="1180" w:type="dxa"/>
            <w:tcBorders>
              <w:top w:val="nil"/>
              <w:left w:val="single" w:color="auto" w:sz="4" w:space="0"/>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2018年</w:t>
            </w:r>
          </w:p>
        </w:tc>
        <w:tc>
          <w:tcPr>
            <w:tcW w:w="1420" w:type="dxa"/>
            <w:tcBorders>
              <w:top w:val="nil"/>
              <w:left w:val="nil"/>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3900</w:t>
            </w:r>
          </w:p>
        </w:tc>
        <w:tc>
          <w:tcPr>
            <w:tcW w:w="1420" w:type="dxa"/>
            <w:tcBorders>
              <w:top w:val="nil"/>
              <w:left w:val="nil"/>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3977</w:t>
            </w:r>
          </w:p>
        </w:tc>
        <w:tc>
          <w:tcPr>
            <w:tcW w:w="1420" w:type="dxa"/>
            <w:tcBorders>
              <w:top w:val="nil"/>
              <w:left w:val="nil"/>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800</w:t>
            </w:r>
          </w:p>
        </w:tc>
        <w:tc>
          <w:tcPr>
            <w:tcW w:w="1420" w:type="dxa"/>
            <w:tcBorders>
              <w:top w:val="nil"/>
              <w:left w:val="nil"/>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861</w:t>
            </w:r>
          </w:p>
        </w:tc>
      </w:tr>
      <w:tr>
        <w:tblPrEx>
          <w:tblCellMar>
            <w:top w:w="0" w:type="dxa"/>
            <w:left w:w="108" w:type="dxa"/>
            <w:bottom w:w="0" w:type="dxa"/>
            <w:right w:w="108" w:type="dxa"/>
          </w:tblCellMar>
        </w:tblPrEx>
        <w:trPr>
          <w:trHeight w:val="505" w:hRule="exact"/>
          <w:jc w:val="center"/>
        </w:trPr>
        <w:tc>
          <w:tcPr>
            <w:tcW w:w="1180" w:type="dxa"/>
            <w:tcBorders>
              <w:top w:val="nil"/>
              <w:left w:val="single" w:color="auto" w:sz="4" w:space="0"/>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2019年</w:t>
            </w:r>
          </w:p>
        </w:tc>
        <w:tc>
          <w:tcPr>
            <w:tcW w:w="1420" w:type="dxa"/>
            <w:tcBorders>
              <w:top w:val="nil"/>
              <w:left w:val="nil"/>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4200</w:t>
            </w:r>
          </w:p>
        </w:tc>
        <w:tc>
          <w:tcPr>
            <w:tcW w:w="1420" w:type="dxa"/>
            <w:tcBorders>
              <w:top w:val="nil"/>
              <w:left w:val="nil"/>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4378</w:t>
            </w:r>
          </w:p>
        </w:tc>
        <w:tc>
          <w:tcPr>
            <w:tcW w:w="1420" w:type="dxa"/>
            <w:tcBorders>
              <w:top w:val="nil"/>
              <w:left w:val="nil"/>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900</w:t>
            </w:r>
          </w:p>
        </w:tc>
        <w:tc>
          <w:tcPr>
            <w:tcW w:w="1420" w:type="dxa"/>
            <w:tcBorders>
              <w:top w:val="nil"/>
              <w:left w:val="nil"/>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1011</w:t>
            </w:r>
          </w:p>
        </w:tc>
      </w:tr>
      <w:tr>
        <w:tblPrEx>
          <w:tblCellMar>
            <w:top w:w="0" w:type="dxa"/>
            <w:left w:w="108" w:type="dxa"/>
            <w:bottom w:w="0" w:type="dxa"/>
            <w:right w:w="108" w:type="dxa"/>
          </w:tblCellMar>
        </w:tblPrEx>
        <w:trPr>
          <w:trHeight w:val="505" w:hRule="exact"/>
          <w:jc w:val="center"/>
        </w:trPr>
        <w:tc>
          <w:tcPr>
            <w:tcW w:w="1180" w:type="dxa"/>
            <w:tcBorders>
              <w:top w:val="nil"/>
              <w:left w:val="single" w:color="auto" w:sz="4" w:space="0"/>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2020年</w:t>
            </w:r>
          </w:p>
        </w:tc>
        <w:tc>
          <w:tcPr>
            <w:tcW w:w="1420" w:type="dxa"/>
            <w:tcBorders>
              <w:top w:val="nil"/>
              <w:left w:val="nil"/>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w:t>
            </w:r>
          </w:p>
        </w:tc>
        <w:tc>
          <w:tcPr>
            <w:tcW w:w="1420" w:type="dxa"/>
            <w:tcBorders>
              <w:top w:val="nil"/>
              <w:left w:val="nil"/>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3561</w:t>
            </w:r>
          </w:p>
        </w:tc>
        <w:tc>
          <w:tcPr>
            <w:tcW w:w="1420" w:type="dxa"/>
            <w:tcBorders>
              <w:top w:val="nil"/>
              <w:left w:val="nil"/>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1100</w:t>
            </w:r>
          </w:p>
        </w:tc>
        <w:tc>
          <w:tcPr>
            <w:tcW w:w="1420" w:type="dxa"/>
            <w:tcBorders>
              <w:top w:val="nil"/>
              <w:left w:val="nil"/>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999</w:t>
            </w:r>
          </w:p>
        </w:tc>
      </w:tr>
      <w:tr>
        <w:tblPrEx>
          <w:tblCellMar>
            <w:top w:w="0" w:type="dxa"/>
            <w:left w:w="108" w:type="dxa"/>
            <w:bottom w:w="0" w:type="dxa"/>
            <w:right w:w="108" w:type="dxa"/>
          </w:tblCellMar>
        </w:tblPrEx>
        <w:trPr>
          <w:trHeight w:val="505" w:hRule="exact"/>
          <w:jc w:val="center"/>
        </w:trPr>
        <w:tc>
          <w:tcPr>
            <w:tcW w:w="1180" w:type="dxa"/>
            <w:tcBorders>
              <w:top w:val="nil"/>
              <w:left w:val="single" w:color="auto" w:sz="4" w:space="0"/>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合计</w:t>
            </w:r>
          </w:p>
        </w:tc>
        <w:tc>
          <w:tcPr>
            <w:tcW w:w="1420" w:type="dxa"/>
            <w:tcBorders>
              <w:top w:val="nil"/>
              <w:left w:val="nil"/>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　</w:t>
            </w:r>
          </w:p>
        </w:tc>
        <w:tc>
          <w:tcPr>
            <w:tcW w:w="1420" w:type="dxa"/>
            <w:tcBorders>
              <w:top w:val="nil"/>
              <w:left w:val="nil"/>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19226</w:t>
            </w:r>
          </w:p>
        </w:tc>
        <w:tc>
          <w:tcPr>
            <w:tcW w:w="1420" w:type="dxa"/>
            <w:tcBorders>
              <w:top w:val="nil"/>
              <w:left w:val="nil"/>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lang w:val="en-US" w:eastAsia="zh-CN"/>
              </w:rPr>
              <w:t>4170</w:t>
            </w:r>
            <w:r>
              <w:rPr>
                <w:rFonts w:hint="eastAsia" w:ascii="仿宋_GB2312" w:hAnsi="宋体" w:eastAsia="仿宋_GB2312" w:cs="宋体"/>
                <w:b/>
                <w:bCs/>
                <w:kern w:val="0"/>
                <w:sz w:val="28"/>
                <w:szCs w:val="28"/>
              </w:rPr>
              <w:t>　</w:t>
            </w:r>
          </w:p>
        </w:tc>
        <w:tc>
          <w:tcPr>
            <w:tcW w:w="1420" w:type="dxa"/>
            <w:tcBorders>
              <w:top w:val="nil"/>
              <w:left w:val="nil"/>
              <w:bottom w:val="single" w:color="auto" w:sz="4" w:space="0"/>
              <w:right w:val="single" w:color="auto" w:sz="4" w:space="0"/>
            </w:tcBorders>
            <w:noWrap/>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4309</w:t>
            </w:r>
          </w:p>
        </w:tc>
      </w:tr>
    </w:tbl>
    <w:p>
      <w:pPr>
        <w:pageBreakBefore w:val="0"/>
        <w:kinsoku/>
        <w:wordWrap/>
        <w:overflowPunct/>
        <w:topLinePunct w:val="0"/>
        <w:autoSpaceDE/>
        <w:autoSpaceDN/>
        <w:bidi w:val="0"/>
        <w:adjustRightInd w:val="0"/>
        <w:snapToGrid w:val="0"/>
        <w:spacing w:line="560" w:lineRule="exact"/>
        <w:jc w:val="center"/>
        <w:rPr>
          <w:rFonts w:hint="eastAsia" w:ascii="仿宋_GB2312" w:hAnsi="宋体" w:eastAsia="仿宋_GB2312"/>
          <w:sz w:val="28"/>
          <w:szCs w:val="28"/>
        </w:rPr>
      </w:pPr>
      <w:r>
        <w:rPr>
          <w:rFonts w:hint="eastAsia" w:ascii="仿宋_GB2312" w:hAnsi="宋体" w:eastAsia="仿宋_GB2312" w:cs="宋体"/>
          <w:kern w:val="0"/>
          <w:sz w:val="28"/>
          <w:szCs w:val="28"/>
        </w:rPr>
        <w:t>表2：“十三五”与“十二五”收入对比（单位：万元）</w:t>
      </w:r>
    </w:p>
    <w:tbl>
      <w:tblPr>
        <w:tblStyle w:val="10"/>
        <w:tblW w:w="7147" w:type="dxa"/>
        <w:jc w:val="center"/>
        <w:tblLayout w:type="autofit"/>
        <w:tblCellMar>
          <w:top w:w="0" w:type="dxa"/>
          <w:left w:w="108" w:type="dxa"/>
          <w:bottom w:w="0" w:type="dxa"/>
          <w:right w:w="108" w:type="dxa"/>
        </w:tblCellMar>
      </w:tblPr>
      <w:tblGrid>
        <w:gridCol w:w="2334"/>
        <w:gridCol w:w="1772"/>
        <w:gridCol w:w="3041"/>
      </w:tblGrid>
      <w:tr>
        <w:tblPrEx>
          <w:tblCellMar>
            <w:top w:w="0" w:type="dxa"/>
            <w:left w:w="108" w:type="dxa"/>
            <w:bottom w:w="0" w:type="dxa"/>
            <w:right w:w="108" w:type="dxa"/>
          </w:tblCellMar>
        </w:tblPrEx>
        <w:trPr>
          <w:trHeight w:val="420" w:hRule="atLeast"/>
          <w:jc w:val="center"/>
        </w:trPr>
        <w:tc>
          <w:tcPr>
            <w:tcW w:w="2334"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时期</w:t>
            </w:r>
          </w:p>
        </w:tc>
        <w:tc>
          <w:tcPr>
            <w:tcW w:w="1772" w:type="dxa"/>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累计毛收入</w:t>
            </w:r>
          </w:p>
        </w:tc>
        <w:tc>
          <w:tcPr>
            <w:tcW w:w="3041" w:type="dxa"/>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累计上交学校管理费</w:t>
            </w:r>
          </w:p>
        </w:tc>
      </w:tr>
      <w:tr>
        <w:tblPrEx>
          <w:tblCellMar>
            <w:top w:w="0" w:type="dxa"/>
            <w:left w:w="108" w:type="dxa"/>
            <w:bottom w:w="0" w:type="dxa"/>
            <w:right w:w="108" w:type="dxa"/>
          </w:tblCellMar>
        </w:tblPrEx>
        <w:trPr>
          <w:trHeight w:val="420" w:hRule="atLeast"/>
          <w:jc w:val="center"/>
        </w:trPr>
        <w:tc>
          <w:tcPr>
            <w:tcW w:w="2334" w:type="dxa"/>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“十二五”时期</w:t>
            </w:r>
          </w:p>
        </w:tc>
        <w:tc>
          <w:tcPr>
            <w:tcW w:w="1772"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8900</w:t>
            </w:r>
          </w:p>
        </w:tc>
        <w:tc>
          <w:tcPr>
            <w:tcW w:w="3041"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2299</w:t>
            </w:r>
          </w:p>
        </w:tc>
      </w:tr>
      <w:tr>
        <w:tblPrEx>
          <w:tblCellMar>
            <w:top w:w="0" w:type="dxa"/>
            <w:left w:w="108" w:type="dxa"/>
            <w:bottom w:w="0" w:type="dxa"/>
            <w:right w:w="108" w:type="dxa"/>
          </w:tblCellMar>
        </w:tblPrEx>
        <w:trPr>
          <w:trHeight w:val="420" w:hRule="atLeast"/>
          <w:jc w:val="center"/>
        </w:trPr>
        <w:tc>
          <w:tcPr>
            <w:tcW w:w="2334" w:type="dxa"/>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“十三五”时期</w:t>
            </w:r>
          </w:p>
        </w:tc>
        <w:tc>
          <w:tcPr>
            <w:tcW w:w="1772"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19226</w:t>
            </w:r>
          </w:p>
        </w:tc>
        <w:tc>
          <w:tcPr>
            <w:tcW w:w="3041"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4309</w:t>
            </w:r>
          </w:p>
        </w:tc>
      </w:tr>
    </w:tbl>
    <w:p>
      <w:pPr>
        <w:keepNext w:val="0"/>
        <w:keepLines w:val="0"/>
        <w:pageBreakBefore w:val="0"/>
        <w:widowControl w:val="0"/>
        <w:numPr>
          <w:numId w:val="0"/>
        </w:numPr>
        <w:kinsoku/>
        <w:wordWrap/>
        <w:overflowPunct/>
        <w:topLinePunct w:val="0"/>
        <w:autoSpaceDE/>
        <w:autoSpaceDN/>
        <w:bidi w:val="0"/>
        <w:adjustRightInd w:val="0"/>
        <w:snapToGrid w:val="0"/>
        <w:spacing w:before="157" w:beforeLines="50" w:line="560" w:lineRule="exact"/>
        <w:ind w:firstLine="643" w:firstLineChars="200"/>
        <w:textAlignment w:val="auto"/>
        <w:rPr>
          <w:rFonts w:hint="eastAsia"/>
        </w:rPr>
      </w:pPr>
      <w:r>
        <w:rPr>
          <w:rFonts w:hint="eastAsia" w:ascii="仿宋_GB2312" w:hAnsi="宋体" w:eastAsia="仿宋_GB2312" w:cs="黑体"/>
          <w:b/>
          <w:sz w:val="32"/>
          <w:szCs w:val="32"/>
          <w:lang w:val="en-US" w:eastAsia="zh-CN"/>
        </w:rPr>
        <w:t>2.</w:t>
      </w:r>
      <w:r>
        <w:rPr>
          <w:rFonts w:hint="eastAsia" w:ascii="仿宋_GB2312" w:hAnsi="宋体" w:eastAsia="仿宋_GB2312" w:cs="黑体"/>
          <w:b/>
          <w:sz w:val="32"/>
          <w:szCs w:val="32"/>
        </w:rPr>
        <w:t>学历教育稳步发展。</w:t>
      </w:r>
      <w:r>
        <w:rPr>
          <w:rFonts w:hint="eastAsia" w:ascii="仿宋_GB2312" w:hAnsi="宋体" w:eastAsia="仿宋_GB2312"/>
          <w:sz w:val="32"/>
          <w:szCs w:val="32"/>
        </w:rPr>
        <w:t>“十三五”期间，继续教育学院坚持以市场为导向，把成人学历教育与社会需求结合起来，不断调整专业结构，加大招生宣传力度，完善教学管理制度</w:t>
      </w:r>
      <w:r>
        <w:rPr>
          <w:rFonts w:hint="eastAsia" w:ascii="仿宋_GB2312" w:hAnsi="宋体" w:eastAsia="仿宋_GB2312"/>
          <w:sz w:val="32"/>
          <w:szCs w:val="32"/>
          <w:lang w:eastAsia="zh-CN"/>
        </w:rPr>
        <w:t>，</w:t>
      </w:r>
      <w:r>
        <w:rPr>
          <w:rFonts w:hint="eastAsia" w:ascii="仿宋_GB2312" w:hAnsi="宋体" w:eastAsia="仿宋_GB2312"/>
          <w:sz w:val="32"/>
          <w:szCs w:val="32"/>
        </w:rPr>
        <w:t>加强教育教学督查</w:t>
      </w:r>
      <w:r>
        <w:rPr>
          <w:rFonts w:hint="eastAsia" w:ascii="仿宋_GB2312" w:hAnsi="宋体" w:eastAsia="仿宋_GB2312"/>
          <w:sz w:val="32"/>
          <w:szCs w:val="32"/>
          <w:lang w:eastAsia="zh-CN"/>
        </w:rPr>
        <w:t>与</w:t>
      </w:r>
      <w:r>
        <w:rPr>
          <w:rFonts w:hint="eastAsia" w:ascii="仿宋_GB2312" w:hAnsi="宋体" w:eastAsia="仿宋_GB2312"/>
          <w:sz w:val="32"/>
          <w:szCs w:val="32"/>
        </w:rPr>
        <w:t>管理</w:t>
      </w:r>
      <w:r>
        <w:rPr>
          <w:rFonts w:hint="eastAsia" w:ascii="仿宋_GB2312" w:hAnsi="宋体" w:eastAsia="仿宋_GB2312"/>
          <w:sz w:val="32"/>
          <w:szCs w:val="32"/>
          <w:lang w:eastAsia="zh-CN"/>
        </w:rPr>
        <w:t>，</w:t>
      </w:r>
      <w:r>
        <w:rPr>
          <w:rFonts w:hint="eastAsia" w:ascii="仿宋_GB2312" w:hAnsi="宋体" w:eastAsia="仿宋_GB2312"/>
          <w:sz w:val="32"/>
          <w:szCs w:val="32"/>
        </w:rPr>
        <w:t>实现了成人教育的稳定发展。在全省成人教育萎缩的大趋势下，学校的成人学历教育仍保持相对稳定的规模。五年来，共录取成教新生7206人，为社会输送合格人才6733人，</w:t>
      </w:r>
      <w:r>
        <w:rPr>
          <w:rFonts w:hint="eastAsia" w:ascii="仿宋_GB2312" w:hAnsi="宋体" w:eastAsia="仿宋_GB2312"/>
          <w:sz w:val="32"/>
          <w:szCs w:val="32"/>
          <w:lang w:eastAsia="zh-CN"/>
        </w:rPr>
        <w:t>年均</w:t>
      </w:r>
      <w:r>
        <w:rPr>
          <w:rFonts w:hint="eastAsia" w:ascii="仿宋_GB2312" w:hAnsi="宋体" w:eastAsia="仿宋_GB2312"/>
          <w:sz w:val="32"/>
          <w:szCs w:val="32"/>
        </w:rPr>
        <w:t>成人学历在校生规模稳定在4</w:t>
      </w:r>
      <w:r>
        <w:rPr>
          <w:rFonts w:hint="eastAsia" w:ascii="仿宋_GB2312" w:hAnsi="宋体" w:eastAsia="仿宋_GB2312"/>
          <w:sz w:val="32"/>
          <w:szCs w:val="32"/>
          <w:lang w:val="en-US" w:eastAsia="zh-CN"/>
        </w:rPr>
        <w:t>3</w:t>
      </w:r>
      <w:r>
        <w:rPr>
          <w:rFonts w:hint="eastAsia" w:ascii="仿宋_GB2312" w:hAnsi="宋体" w:eastAsia="仿宋_GB2312"/>
          <w:sz w:val="32"/>
          <w:szCs w:val="32"/>
        </w:rPr>
        <w:t>00人左右（如表三所示）。</w:t>
      </w:r>
    </w:p>
    <w:p>
      <w:pPr>
        <w:pageBreakBefore w:val="0"/>
        <w:kinsoku/>
        <w:wordWrap/>
        <w:overflowPunct/>
        <w:topLinePunct w:val="0"/>
        <w:autoSpaceDE/>
        <w:autoSpaceDN/>
        <w:bidi w:val="0"/>
        <w:adjustRightInd w:val="0"/>
        <w:snapToGrid w:val="0"/>
        <w:spacing w:line="560" w:lineRule="exact"/>
        <w:ind w:firstLine="560" w:firstLineChars="200"/>
        <w:jc w:val="center"/>
        <w:rPr>
          <w:rFonts w:hint="eastAsia" w:ascii="仿宋_GB2312" w:hAnsi="宋体" w:eastAsia="仿宋_GB2312"/>
          <w:sz w:val="28"/>
          <w:szCs w:val="28"/>
        </w:rPr>
      </w:pPr>
      <w:r>
        <w:rPr>
          <w:rFonts w:hint="eastAsia" w:ascii="仿宋_GB2312" w:hAnsi="宋体" w:eastAsia="仿宋_GB2312" w:cs="宋体"/>
          <w:kern w:val="0"/>
          <w:sz w:val="28"/>
          <w:szCs w:val="28"/>
        </w:rPr>
        <w:t>表3：“十三五”时期成人高等学历教育人数统计（单位：人）</w:t>
      </w:r>
    </w:p>
    <w:tbl>
      <w:tblPr>
        <w:tblStyle w:val="10"/>
        <w:tblW w:w="6760" w:type="dxa"/>
        <w:jc w:val="center"/>
        <w:tblLayout w:type="autofit"/>
        <w:tblCellMar>
          <w:top w:w="0" w:type="dxa"/>
          <w:left w:w="108" w:type="dxa"/>
          <w:bottom w:w="0" w:type="dxa"/>
          <w:right w:w="108" w:type="dxa"/>
        </w:tblCellMar>
      </w:tblPr>
      <w:tblGrid>
        <w:gridCol w:w="1800"/>
        <w:gridCol w:w="1620"/>
        <w:gridCol w:w="1680"/>
        <w:gridCol w:w="1660"/>
      </w:tblGrid>
      <w:tr>
        <w:tblPrEx>
          <w:tblCellMar>
            <w:top w:w="0" w:type="dxa"/>
            <w:left w:w="108" w:type="dxa"/>
            <w:bottom w:w="0" w:type="dxa"/>
            <w:right w:w="108" w:type="dxa"/>
          </w:tblCellMar>
        </w:tblPrEx>
        <w:trPr>
          <w:trHeight w:val="360" w:hRule="atLeast"/>
          <w:jc w:val="center"/>
        </w:trPr>
        <w:tc>
          <w:tcPr>
            <w:tcW w:w="1800"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年度</w:t>
            </w:r>
          </w:p>
        </w:tc>
        <w:tc>
          <w:tcPr>
            <w:tcW w:w="1620" w:type="dxa"/>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招生人数</w:t>
            </w:r>
          </w:p>
        </w:tc>
        <w:tc>
          <w:tcPr>
            <w:tcW w:w="1680" w:type="dxa"/>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毕业人数</w:t>
            </w:r>
          </w:p>
        </w:tc>
        <w:tc>
          <w:tcPr>
            <w:tcW w:w="1660" w:type="dxa"/>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在校生数</w:t>
            </w:r>
          </w:p>
        </w:tc>
      </w:tr>
      <w:tr>
        <w:tblPrEx>
          <w:tblCellMar>
            <w:top w:w="0" w:type="dxa"/>
            <w:left w:w="108" w:type="dxa"/>
            <w:bottom w:w="0" w:type="dxa"/>
            <w:right w:w="108" w:type="dxa"/>
          </w:tblCellMar>
        </w:tblPrEx>
        <w:trPr>
          <w:trHeight w:val="360" w:hRule="atLeast"/>
          <w:jc w:val="center"/>
        </w:trPr>
        <w:tc>
          <w:tcPr>
            <w:tcW w:w="1800" w:type="dxa"/>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2016年</w:t>
            </w:r>
          </w:p>
        </w:tc>
        <w:tc>
          <w:tcPr>
            <w:tcW w:w="162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1188</w:t>
            </w:r>
          </w:p>
        </w:tc>
        <w:tc>
          <w:tcPr>
            <w:tcW w:w="16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1462</w:t>
            </w:r>
          </w:p>
        </w:tc>
        <w:tc>
          <w:tcPr>
            <w:tcW w:w="166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4049</w:t>
            </w:r>
          </w:p>
        </w:tc>
      </w:tr>
      <w:tr>
        <w:tblPrEx>
          <w:tblCellMar>
            <w:top w:w="0" w:type="dxa"/>
            <w:left w:w="108" w:type="dxa"/>
            <w:bottom w:w="0" w:type="dxa"/>
            <w:right w:w="108" w:type="dxa"/>
          </w:tblCellMar>
        </w:tblPrEx>
        <w:trPr>
          <w:trHeight w:val="360" w:hRule="atLeast"/>
          <w:jc w:val="center"/>
        </w:trPr>
        <w:tc>
          <w:tcPr>
            <w:tcW w:w="1800" w:type="dxa"/>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2017年</w:t>
            </w:r>
          </w:p>
        </w:tc>
        <w:tc>
          <w:tcPr>
            <w:tcW w:w="162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1565</w:t>
            </w:r>
          </w:p>
        </w:tc>
        <w:tc>
          <w:tcPr>
            <w:tcW w:w="16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1476</w:t>
            </w:r>
          </w:p>
        </w:tc>
        <w:tc>
          <w:tcPr>
            <w:tcW w:w="166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4118</w:t>
            </w:r>
          </w:p>
        </w:tc>
      </w:tr>
      <w:tr>
        <w:tblPrEx>
          <w:tblCellMar>
            <w:top w:w="0" w:type="dxa"/>
            <w:left w:w="108" w:type="dxa"/>
            <w:bottom w:w="0" w:type="dxa"/>
            <w:right w:w="108" w:type="dxa"/>
          </w:tblCellMar>
        </w:tblPrEx>
        <w:trPr>
          <w:trHeight w:val="360" w:hRule="atLeast"/>
          <w:jc w:val="center"/>
        </w:trPr>
        <w:tc>
          <w:tcPr>
            <w:tcW w:w="1800" w:type="dxa"/>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2018年</w:t>
            </w:r>
          </w:p>
        </w:tc>
        <w:tc>
          <w:tcPr>
            <w:tcW w:w="162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1550</w:t>
            </w:r>
          </w:p>
        </w:tc>
        <w:tc>
          <w:tcPr>
            <w:tcW w:w="16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1273</w:t>
            </w:r>
          </w:p>
        </w:tc>
        <w:tc>
          <w:tcPr>
            <w:tcW w:w="166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4232</w:t>
            </w:r>
          </w:p>
        </w:tc>
      </w:tr>
      <w:tr>
        <w:tblPrEx>
          <w:tblCellMar>
            <w:top w:w="0" w:type="dxa"/>
            <w:left w:w="108" w:type="dxa"/>
            <w:bottom w:w="0" w:type="dxa"/>
            <w:right w:w="108" w:type="dxa"/>
          </w:tblCellMar>
        </w:tblPrEx>
        <w:trPr>
          <w:trHeight w:val="360" w:hRule="atLeast"/>
          <w:jc w:val="center"/>
        </w:trPr>
        <w:tc>
          <w:tcPr>
            <w:tcW w:w="1800" w:type="dxa"/>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2019年</w:t>
            </w:r>
          </w:p>
        </w:tc>
        <w:tc>
          <w:tcPr>
            <w:tcW w:w="162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1731</w:t>
            </w:r>
          </w:p>
        </w:tc>
        <w:tc>
          <w:tcPr>
            <w:tcW w:w="16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1049</w:t>
            </w:r>
          </w:p>
        </w:tc>
        <w:tc>
          <w:tcPr>
            <w:tcW w:w="166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4805</w:t>
            </w:r>
          </w:p>
        </w:tc>
      </w:tr>
      <w:tr>
        <w:tblPrEx>
          <w:tblCellMar>
            <w:top w:w="0" w:type="dxa"/>
            <w:left w:w="108" w:type="dxa"/>
            <w:bottom w:w="0" w:type="dxa"/>
            <w:right w:w="108" w:type="dxa"/>
          </w:tblCellMar>
        </w:tblPrEx>
        <w:trPr>
          <w:trHeight w:val="360" w:hRule="atLeast"/>
          <w:jc w:val="center"/>
        </w:trPr>
        <w:tc>
          <w:tcPr>
            <w:tcW w:w="1800" w:type="dxa"/>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2020年</w:t>
            </w:r>
          </w:p>
        </w:tc>
        <w:tc>
          <w:tcPr>
            <w:tcW w:w="162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1172</w:t>
            </w:r>
          </w:p>
        </w:tc>
        <w:tc>
          <w:tcPr>
            <w:tcW w:w="16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1473</w:t>
            </w:r>
          </w:p>
        </w:tc>
        <w:tc>
          <w:tcPr>
            <w:tcW w:w="166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4527</w:t>
            </w:r>
          </w:p>
        </w:tc>
      </w:tr>
      <w:tr>
        <w:tblPrEx>
          <w:tblCellMar>
            <w:top w:w="0" w:type="dxa"/>
            <w:left w:w="108" w:type="dxa"/>
            <w:bottom w:w="0" w:type="dxa"/>
            <w:right w:w="108" w:type="dxa"/>
          </w:tblCellMar>
        </w:tblPrEx>
        <w:trPr>
          <w:trHeight w:val="360" w:hRule="atLeast"/>
          <w:jc w:val="center"/>
        </w:trPr>
        <w:tc>
          <w:tcPr>
            <w:tcW w:w="1800" w:type="dxa"/>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合计</w:t>
            </w:r>
          </w:p>
        </w:tc>
        <w:tc>
          <w:tcPr>
            <w:tcW w:w="162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7206</w:t>
            </w:r>
          </w:p>
        </w:tc>
        <w:tc>
          <w:tcPr>
            <w:tcW w:w="16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6733</w:t>
            </w:r>
          </w:p>
        </w:tc>
        <w:tc>
          <w:tcPr>
            <w:tcW w:w="166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21731</w:t>
            </w:r>
          </w:p>
        </w:tc>
      </w:tr>
    </w:tbl>
    <w:p>
      <w:pPr>
        <w:pageBreakBefore w:val="0"/>
        <w:kinsoku/>
        <w:wordWrap/>
        <w:overflowPunct/>
        <w:topLinePunct w:val="0"/>
        <w:autoSpaceDE/>
        <w:autoSpaceDN/>
        <w:bidi w:val="0"/>
        <w:adjustRightInd w:val="0"/>
        <w:snapToGrid w:val="0"/>
        <w:spacing w:line="560" w:lineRule="exact"/>
        <w:ind w:firstLine="643" w:firstLineChars="200"/>
        <w:rPr>
          <w:rFonts w:hint="eastAsia" w:ascii="仿宋_GB2312" w:hAnsi="宋体" w:eastAsia="仿宋_GB2312"/>
          <w:sz w:val="32"/>
          <w:szCs w:val="32"/>
        </w:rPr>
      </w:pPr>
      <w:r>
        <w:rPr>
          <w:rFonts w:hint="eastAsia" w:ascii="仿宋_GB2312" w:hAnsi="宋体" w:eastAsia="仿宋_GB2312" w:cs="黑体"/>
          <w:b/>
          <w:sz w:val="32"/>
          <w:szCs w:val="32"/>
          <w:lang w:val="en-US" w:eastAsia="zh-CN"/>
        </w:rPr>
        <w:t>3</w:t>
      </w:r>
      <w:r>
        <w:rPr>
          <w:rFonts w:hint="eastAsia" w:ascii="仿宋_GB2312" w:hAnsi="宋体" w:eastAsia="仿宋_GB2312" w:cs="黑体"/>
          <w:b/>
          <w:sz w:val="32"/>
          <w:szCs w:val="32"/>
        </w:rPr>
        <w:t>.非学历教育规模不断扩大。</w:t>
      </w:r>
      <w:r>
        <w:rPr>
          <w:rFonts w:hint="eastAsia" w:ascii="仿宋_GB2312" w:hAnsi="宋体" w:eastAsia="仿宋_GB2312"/>
          <w:sz w:val="32"/>
          <w:szCs w:val="32"/>
        </w:rPr>
        <w:t>“十三五”期间，学院主动拓展校地合作，成功获批“浙江省专业技术人员继续教育基地”，并与地方街道合作建立人才培训基地，坚持为地方培养各类人才，荣获湖州市“继续教育人才培训优秀项目”“继续教育人才培训团队先进集体”等称号。同时，学校以省教师教育基地为依托，不断注重项目申报与过程管理，实现教师培训项目申报数量和质量的双提升。五年来，共举办各类培训项目800个，共计培训59300多人次（如表</w:t>
      </w:r>
      <w:r>
        <w:rPr>
          <w:rFonts w:hint="eastAsia" w:ascii="仿宋_GB2312" w:hAnsi="宋体" w:eastAsia="仿宋_GB2312"/>
          <w:sz w:val="32"/>
          <w:szCs w:val="32"/>
          <w:lang w:val="en-US" w:eastAsia="zh-CN"/>
        </w:rPr>
        <w:t>4</w:t>
      </w:r>
      <w:r>
        <w:rPr>
          <w:rFonts w:hint="eastAsia" w:ascii="仿宋_GB2312" w:hAnsi="宋体" w:eastAsia="仿宋_GB2312"/>
          <w:sz w:val="32"/>
          <w:szCs w:val="32"/>
        </w:rPr>
        <w:t>所示），相比“十二五”时期，举办各类培训项目递增41.6%，培训人次递增41.2%（如表</w:t>
      </w:r>
      <w:r>
        <w:rPr>
          <w:rFonts w:hint="eastAsia" w:ascii="仿宋_GB2312" w:hAnsi="宋体" w:eastAsia="仿宋_GB2312"/>
          <w:sz w:val="32"/>
          <w:szCs w:val="32"/>
          <w:lang w:val="en-US" w:eastAsia="zh-CN"/>
        </w:rPr>
        <w:t>5</w:t>
      </w:r>
      <w:r>
        <w:rPr>
          <w:rFonts w:hint="eastAsia" w:ascii="仿宋_GB2312" w:hAnsi="宋体" w:eastAsia="仿宋_GB2312"/>
          <w:sz w:val="32"/>
          <w:szCs w:val="32"/>
        </w:rPr>
        <w:t>所示），非学历教育规模不断扩大，培训人数不断增多，转型发展呈现良好势头。</w:t>
      </w:r>
    </w:p>
    <w:p>
      <w:pPr>
        <w:pageBreakBefore w:val="0"/>
        <w:kinsoku/>
        <w:wordWrap/>
        <w:overflowPunct/>
        <w:topLinePunct w:val="0"/>
        <w:autoSpaceDE/>
        <w:autoSpaceDN/>
        <w:bidi w:val="0"/>
        <w:adjustRightInd w:val="0"/>
        <w:snapToGrid w:val="0"/>
        <w:spacing w:line="560" w:lineRule="exact"/>
        <w:ind w:firstLine="560" w:firstLineChars="200"/>
        <w:jc w:val="center"/>
        <w:rPr>
          <w:rFonts w:hint="eastAsia" w:ascii="仿宋_GB2312" w:hAnsi="宋体" w:eastAsia="仿宋_GB2312"/>
          <w:sz w:val="28"/>
          <w:szCs w:val="28"/>
        </w:rPr>
      </w:pPr>
      <w:r>
        <w:rPr>
          <w:rFonts w:hint="eastAsia" w:ascii="仿宋_GB2312" w:hAnsi="宋体" w:eastAsia="仿宋_GB2312" w:cs="宋体"/>
          <w:kern w:val="0"/>
          <w:sz w:val="28"/>
          <w:szCs w:val="28"/>
        </w:rPr>
        <w:t>表4：“十三五”时期举办培训项目统计（单位：个）</w:t>
      </w:r>
    </w:p>
    <w:tbl>
      <w:tblPr>
        <w:tblStyle w:val="10"/>
        <w:tblW w:w="5100" w:type="dxa"/>
        <w:jc w:val="center"/>
        <w:tblLayout w:type="autofit"/>
        <w:tblCellMar>
          <w:top w:w="0" w:type="dxa"/>
          <w:left w:w="108" w:type="dxa"/>
          <w:bottom w:w="0" w:type="dxa"/>
          <w:right w:w="108" w:type="dxa"/>
        </w:tblCellMar>
      </w:tblPr>
      <w:tblGrid>
        <w:gridCol w:w="1700"/>
        <w:gridCol w:w="1700"/>
        <w:gridCol w:w="1700"/>
      </w:tblGrid>
      <w:tr>
        <w:tblPrEx>
          <w:tblCellMar>
            <w:top w:w="0" w:type="dxa"/>
            <w:left w:w="108" w:type="dxa"/>
            <w:bottom w:w="0" w:type="dxa"/>
            <w:right w:w="108" w:type="dxa"/>
          </w:tblCellMar>
        </w:tblPrEx>
        <w:trPr>
          <w:trHeight w:val="450" w:hRule="atLeast"/>
          <w:jc w:val="center"/>
        </w:trPr>
        <w:tc>
          <w:tcPr>
            <w:tcW w:w="1700"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年度</w:t>
            </w:r>
          </w:p>
        </w:tc>
        <w:tc>
          <w:tcPr>
            <w:tcW w:w="1700" w:type="dxa"/>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培训班次</w:t>
            </w:r>
          </w:p>
        </w:tc>
        <w:tc>
          <w:tcPr>
            <w:tcW w:w="1700" w:type="dxa"/>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培训人次</w:t>
            </w:r>
          </w:p>
        </w:tc>
      </w:tr>
      <w:tr>
        <w:tblPrEx>
          <w:tblCellMar>
            <w:top w:w="0" w:type="dxa"/>
            <w:left w:w="108" w:type="dxa"/>
            <w:bottom w:w="0" w:type="dxa"/>
            <w:right w:w="108" w:type="dxa"/>
          </w:tblCellMar>
        </w:tblPrEx>
        <w:trPr>
          <w:trHeight w:val="450" w:hRule="atLeast"/>
          <w:jc w:val="center"/>
        </w:trPr>
        <w:tc>
          <w:tcPr>
            <w:tcW w:w="1700" w:type="dxa"/>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2016年</w:t>
            </w:r>
          </w:p>
        </w:tc>
        <w:tc>
          <w:tcPr>
            <w:tcW w:w="170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90</w:t>
            </w:r>
          </w:p>
        </w:tc>
        <w:tc>
          <w:tcPr>
            <w:tcW w:w="170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10046</w:t>
            </w:r>
          </w:p>
        </w:tc>
      </w:tr>
      <w:tr>
        <w:tblPrEx>
          <w:tblCellMar>
            <w:top w:w="0" w:type="dxa"/>
            <w:left w:w="108" w:type="dxa"/>
            <w:bottom w:w="0" w:type="dxa"/>
            <w:right w:w="108" w:type="dxa"/>
          </w:tblCellMar>
        </w:tblPrEx>
        <w:trPr>
          <w:trHeight w:val="450" w:hRule="atLeast"/>
          <w:jc w:val="center"/>
        </w:trPr>
        <w:tc>
          <w:tcPr>
            <w:tcW w:w="1700" w:type="dxa"/>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2017年</w:t>
            </w:r>
          </w:p>
        </w:tc>
        <w:tc>
          <w:tcPr>
            <w:tcW w:w="170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203</w:t>
            </w:r>
          </w:p>
        </w:tc>
        <w:tc>
          <w:tcPr>
            <w:tcW w:w="170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16479</w:t>
            </w:r>
          </w:p>
        </w:tc>
      </w:tr>
      <w:tr>
        <w:tblPrEx>
          <w:tblCellMar>
            <w:top w:w="0" w:type="dxa"/>
            <w:left w:w="108" w:type="dxa"/>
            <w:bottom w:w="0" w:type="dxa"/>
            <w:right w:w="108" w:type="dxa"/>
          </w:tblCellMar>
        </w:tblPrEx>
        <w:trPr>
          <w:trHeight w:val="450" w:hRule="atLeast"/>
          <w:jc w:val="center"/>
        </w:trPr>
        <w:tc>
          <w:tcPr>
            <w:tcW w:w="1700" w:type="dxa"/>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2018年</w:t>
            </w:r>
          </w:p>
        </w:tc>
        <w:tc>
          <w:tcPr>
            <w:tcW w:w="170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201</w:t>
            </w:r>
          </w:p>
        </w:tc>
        <w:tc>
          <w:tcPr>
            <w:tcW w:w="170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13397</w:t>
            </w:r>
          </w:p>
        </w:tc>
      </w:tr>
      <w:tr>
        <w:tblPrEx>
          <w:tblCellMar>
            <w:top w:w="0" w:type="dxa"/>
            <w:left w:w="108" w:type="dxa"/>
            <w:bottom w:w="0" w:type="dxa"/>
            <w:right w:w="108" w:type="dxa"/>
          </w:tblCellMar>
        </w:tblPrEx>
        <w:trPr>
          <w:trHeight w:val="450" w:hRule="atLeast"/>
          <w:jc w:val="center"/>
        </w:trPr>
        <w:tc>
          <w:tcPr>
            <w:tcW w:w="1700" w:type="dxa"/>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2019年</w:t>
            </w:r>
          </w:p>
        </w:tc>
        <w:tc>
          <w:tcPr>
            <w:tcW w:w="170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203</w:t>
            </w:r>
          </w:p>
        </w:tc>
        <w:tc>
          <w:tcPr>
            <w:tcW w:w="170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13500</w:t>
            </w:r>
          </w:p>
        </w:tc>
      </w:tr>
      <w:tr>
        <w:tblPrEx>
          <w:tblCellMar>
            <w:top w:w="0" w:type="dxa"/>
            <w:left w:w="108" w:type="dxa"/>
            <w:bottom w:w="0" w:type="dxa"/>
            <w:right w:w="108" w:type="dxa"/>
          </w:tblCellMar>
        </w:tblPrEx>
        <w:trPr>
          <w:trHeight w:val="450" w:hRule="atLeast"/>
          <w:jc w:val="center"/>
        </w:trPr>
        <w:tc>
          <w:tcPr>
            <w:tcW w:w="1700" w:type="dxa"/>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2020年</w:t>
            </w:r>
          </w:p>
        </w:tc>
        <w:tc>
          <w:tcPr>
            <w:tcW w:w="170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103</w:t>
            </w:r>
          </w:p>
        </w:tc>
        <w:tc>
          <w:tcPr>
            <w:tcW w:w="170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5900</w:t>
            </w:r>
          </w:p>
        </w:tc>
      </w:tr>
      <w:tr>
        <w:tblPrEx>
          <w:tblCellMar>
            <w:top w:w="0" w:type="dxa"/>
            <w:left w:w="108" w:type="dxa"/>
            <w:bottom w:w="0" w:type="dxa"/>
            <w:right w:w="108" w:type="dxa"/>
          </w:tblCellMar>
        </w:tblPrEx>
        <w:trPr>
          <w:trHeight w:val="450" w:hRule="atLeast"/>
          <w:jc w:val="center"/>
        </w:trPr>
        <w:tc>
          <w:tcPr>
            <w:tcW w:w="1700" w:type="dxa"/>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合计</w:t>
            </w:r>
          </w:p>
        </w:tc>
        <w:tc>
          <w:tcPr>
            <w:tcW w:w="170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800</w:t>
            </w:r>
          </w:p>
        </w:tc>
        <w:tc>
          <w:tcPr>
            <w:tcW w:w="170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59322</w:t>
            </w:r>
          </w:p>
        </w:tc>
      </w:tr>
    </w:tbl>
    <w:p>
      <w:pPr>
        <w:pageBreakBefore w:val="0"/>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p>
    <w:p>
      <w:pPr>
        <w:pageBreakBefore w:val="0"/>
        <w:kinsoku/>
        <w:wordWrap/>
        <w:overflowPunct/>
        <w:topLinePunct w:val="0"/>
        <w:autoSpaceDE/>
        <w:autoSpaceDN/>
        <w:bidi w:val="0"/>
        <w:adjustRightInd w:val="0"/>
        <w:snapToGrid w:val="0"/>
        <w:spacing w:line="560" w:lineRule="exact"/>
        <w:jc w:val="center"/>
        <w:rPr>
          <w:rFonts w:hint="eastAsia" w:ascii="仿宋_GB2312" w:hAnsi="宋体" w:eastAsia="仿宋_GB2312"/>
          <w:sz w:val="28"/>
          <w:szCs w:val="28"/>
        </w:rPr>
      </w:pPr>
      <w:r>
        <w:rPr>
          <w:rFonts w:hint="eastAsia" w:ascii="仿宋_GB2312" w:hAnsi="宋体" w:eastAsia="仿宋_GB2312" w:cs="宋体"/>
          <w:kern w:val="0"/>
          <w:sz w:val="28"/>
          <w:szCs w:val="28"/>
        </w:rPr>
        <w:t>表5：“十三五”与“十二五”时期举办培训项目对比（单位：个）</w:t>
      </w:r>
    </w:p>
    <w:tbl>
      <w:tblPr>
        <w:tblStyle w:val="10"/>
        <w:tblW w:w="6420" w:type="dxa"/>
        <w:jc w:val="center"/>
        <w:tblLayout w:type="autofit"/>
        <w:tblCellMar>
          <w:top w:w="0" w:type="dxa"/>
          <w:left w:w="108" w:type="dxa"/>
          <w:bottom w:w="0" w:type="dxa"/>
          <w:right w:w="108" w:type="dxa"/>
        </w:tblCellMar>
      </w:tblPr>
      <w:tblGrid>
        <w:gridCol w:w="2140"/>
        <w:gridCol w:w="2140"/>
        <w:gridCol w:w="2140"/>
      </w:tblGrid>
      <w:tr>
        <w:tblPrEx>
          <w:tblCellMar>
            <w:top w:w="0" w:type="dxa"/>
            <w:left w:w="108" w:type="dxa"/>
            <w:bottom w:w="0" w:type="dxa"/>
            <w:right w:w="108" w:type="dxa"/>
          </w:tblCellMar>
        </w:tblPrEx>
        <w:trPr>
          <w:trHeight w:val="435" w:hRule="atLeast"/>
          <w:jc w:val="center"/>
        </w:trPr>
        <w:tc>
          <w:tcPr>
            <w:tcW w:w="2140"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时期</w:t>
            </w:r>
          </w:p>
        </w:tc>
        <w:tc>
          <w:tcPr>
            <w:tcW w:w="2140" w:type="dxa"/>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累计培训班次</w:t>
            </w:r>
          </w:p>
        </w:tc>
        <w:tc>
          <w:tcPr>
            <w:tcW w:w="2140" w:type="dxa"/>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b/>
                <w:bCs/>
                <w:kern w:val="0"/>
                <w:sz w:val="28"/>
                <w:szCs w:val="28"/>
              </w:rPr>
            </w:pPr>
            <w:r>
              <w:rPr>
                <w:rFonts w:hint="eastAsia" w:ascii="仿宋_GB2312" w:hAnsi="宋体" w:eastAsia="仿宋_GB2312" w:cs="宋体"/>
                <w:b/>
                <w:bCs/>
                <w:kern w:val="0"/>
                <w:sz w:val="28"/>
                <w:szCs w:val="28"/>
              </w:rPr>
              <w:t>累计培训人次</w:t>
            </w:r>
          </w:p>
        </w:tc>
      </w:tr>
      <w:tr>
        <w:tblPrEx>
          <w:tblCellMar>
            <w:top w:w="0" w:type="dxa"/>
            <w:left w:w="108" w:type="dxa"/>
            <w:bottom w:w="0" w:type="dxa"/>
            <w:right w:w="108" w:type="dxa"/>
          </w:tblCellMar>
        </w:tblPrEx>
        <w:trPr>
          <w:trHeight w:val="435" w:hRule="atLeast"/>
          <w:jc w:val="center"/>
        </w:trPr>
        <w:tc>
          <w:tcPr>
            <w:tcW w:w="2140" w:type="dxa"/>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“十二五”时期</w:t>
            </w:r>
          </w:p>
        </w:tc>
        <w:tc>
          <w:tcPr>
            <w:tcW w:w="214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565</w:t>
            </w:r>
          </w:p>
        </w:tc>
        <w:tc>
          <w:tcPr>
            <w:tcW w:w="214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42000</w:t>
            </w:r>
          </w:p>
        </w:tc>
      </w:tr>
      <w:tr>
        <w:tblPrEx>
          <w:tblCellMar>
            <w:top w:w="0" w:type="dxa"/>
            <w:left w:w="108" w:type="dxa"/>
            <w:bottom w:w="0" w:type="dxa"/>
            <w:right w:w="108" w:type="dxa"/>
          </w:tblCellMar>
        </w:tblPrEx>
        <w:trPr>
          <w:trHeight w:val="435" w:hRule="atLeast"/>
          <w:jc w:val="center"/>
        </w:trPr>
        <w:tc>
          <w:tcPr>
            <w:tcW w:w="2140" w:type="dxa"/>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“十三五”时期</w:t>
            </w:r>
          </w:p>
        </w:tc>
        <w:tc>
          <w:tcPr>
            <w:tcW w:w="214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800</w:t>
            </w:r>
          </w:p>
        </w:tc>
        <w:tc>
          <w:tcPr>
            <w:tcW w:w="214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adjustRightInd w:val="0"/>
              <w:snapToGrid w:val="0"/>
              <w:spacing w:line="560" w:lineRule="exact"/>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59322</w:t>
            </w:r>
          </w:p>
        </w:tc>
      </w:tr>
    </w:tbl>
    <w:p>
      <w:pPr>
        <w:pageBreakBefore w:val="0"/>
        <w:kinsoku/>
        <w:wordWrap/>
        <w:overflowPunct/>
        <w:topLinePunct w:val="0"/>
        <w:autoSpaceDE/>
        <w:autoSpaceDN/>
        <w:bidi w:val="0"/>
        <w:adjustRightInd w:val="0"/>
        <w:snapToGrid w:val="0"/>
        <w:spacing w:line="560" w:lineRule="exact"/>
        <w:ind w:firstLine="643" w:firstLineChars="200"/>
        <w:rPr>
          <w:rFonts w:hint="eastAsia" w:ascii="楷体" w:hAnsi="楷体" w:eastAsia="楷体" w:cs="黑体"/>
          <w:b/>
          <w:sz w:val="32"/>
          <w:szCs w:val="32"/>
        </w:rPr>
      </w:pPr>
      <w:r>
        <w:rPr>
          <w:rFonts w:hint="eastAsia" w:ascii="仿宋_GB2312" w:hAnsi="宋体" w:eastAsia="仿宋_GB2312" w:cs="黑体"/>
          <w:b/>
          <w:sz w:val="32"/>
          <w:szCs w:val="32"/>
          <w:lang w:val="en-US" w:eastAsia="zh-CN"/>
        </w:rPr>
        <w:t>4.教育质量稳步提升。</w:t>
      </w:r>
      <w:r>
        <w:rPr>
          <w:rFonts w:hint="eastAsia" w:ascii="仿宋_GB2312" w:hAnsi="宋体" w:eastAsia="仿宋_GB2312"/>
          <w:sz w:val="32"/>
          <w:szCs w:val="32"/>
          <w:lang w:eastAsia="zh-CN"/>
        </w:rPr>
        <w:t>强化成人高等教育内涵建设，牢固树立教学质量意识，不断完善教学管理制度，通过制度来强化管理、促进教学。对接市场需求，不断修订和完善教学计划，加强成人高等教育教学督查和考试管理，做好学生学籍管理、成绩管理、教材征订和档案管理工作，积极探索成人高等教育教学和管理工作改革。加强对各函授教学站点日常教学管理的检查和指导，全面提高成人高等教育教学的质量。</w:t>
      </w:r>
    </w:p>
    <w:p>
      <w:pPr>
        <w:pageBreakBefore w:val="0"/>
        <w:kinsoku/>
        <w:wordWrap/>
        <w:overflowPunct/>
        <w:topLinePunct w:val="0"/>
        <w:autoSpaceDE/>
        <w:autoSpaceDN/>
        <w:bidi w:val="0"/>
        <w:adjustRightInd w:val="0"/>
        <w:snapToGrid w:val="0"/>
        <w:spacing w:line="560" w:lineRule="exact"/>
        <w:ind w:firstLine="630" w:firstLineChars="196"/>
        <w:rPr>
          <w:rFonts w:hint="eastAsia" w:ascii="楷体" w:hAnsi="楷体" w:eastAsia="楷体" w:cs="黑体"/>
          <w:b/>
          <w:sz w:val="32"/>
          <w:szCs w:val="32"/>
        </w:rPr>
      </w:pPr>
      <w:r>
        <w:rPr>
          <w:rFonts w:hint="eastAsia" w:ascii="楷体" w:hAnsi="楷体" w:eastAsia="楷体" w:cs="黑体"/>
          <w:b/>
          <w:sz w:val="32"/>
          <w:szCs w:val="32"/>
        </w:rPr>
        <w:t>（二）存在的问题与不足</w:t>
      </w:r>
    </w:p>
    <w:p>
      <w:pPr>
        <w:pageBreakBefore w:val="0"/>
        <w:kinsoku/>
        <w:wordWrap/>
        <w:overflowPunct/>
        <w:topLinePunct w:val="0"/>
        <w:autoSpaceDE/>
        <w:autoSpaceDN/>
        <w:bidi w:val="0"/>
        <w:adjustRightInd w:val="0"/>
        <w:snapToGrid w:val="0"/>
        <w:spacing w:line="560" w:lineRule="exact"/>
        <w:ind w:firstLine="643" w:firstLineChars="200"/>
        <w:rPr>
          <w:rFonts w:hint="eastAsia" w:ascii="仿宋_GB2312" w:hAnsi="宋体" w:eastAsia="仿宋_GB2312"/>
          <w:sz w:val="32"/>
          <w:szCs w:val="32"/>
        </w:rPr>
      </w:pPr>
      <w:r>
        <w:rPr>
          <w:rFonts w:hint="eastAsia" w:ascii="仿宋_GB2312" w:hAnsi="宋体" w:eastAsia="仿宋_GB2312" w:cs="黑体"/>
          <w:b/>
          <w:sz w:val="32"/>
          <w:szCs w:val="32"/>
        </w:rPr>
        <w:t>1.考核与激励的体系不够完善。</w:t>
      </w:r>
      <w:r>
        <w:rPr>
          <w:rFonts w:hint="eastAsia" w:ascii="仿宋_GB2312" w:hAnsi="宋体" w:eastAsia="仿宋_GB2312"/>
          <w:sz w:val="32"/>
          <w:szCs w:val="32"/>
          <w:lang w:eastAsia="zh-CN"/>
        </w:rPr>
        <w:t>受限于绩效额度与激励机制等因素，二级学院持续拓展业务领域、扩大培训规模的积极性和主动性不高，有资源、有能力的人员主动对接继续教育的意愿和动能不强。</w:t>
      </w:r>
      <w:r>
        <w:rPr>
          <w:rFonts w:hint="eastAsia" w:ascii="仿宋_GB2312" w:hAnsi="宋体" w:eastAsia="仿宋_GB2312"/>
          <w:sz w:val="32"/>
          <w:szCs w:val="32"/>
        </w:rPr>
        <w:t>继续教育办学考核、激励机制尚不完善，在一定程度上限制了</w:t>
      </w:r>
      <w:r>
        <w:rPr>
          <w:rFonts w:hint="eastAsia" w:ascii="仿宋_GB2312" w:hAnsi="宋体" w:eastAsia="仿宋_GB2312"/>
          <w:sz w:val="32"/>
          <w:szCs w:val="32"/>
          <w:lang w:eastAsia="zh-CN"/>
        </w:rPr>
        <w:t>教职员工</w:t>
      </w:r>
      <w:r>
        <w:rPr>
          <w:rFonts w:hint="eastAsia" w:ascii="仿宋_GB2312" w:hAnsi="宋体" w:eastAsia="仿宋_GB2312"/>
          <w:sz w:val="32"/>
          <w:szCs w:val="32"/>
        </w:rPr>
        <w:t>参与继续教育的积极性。</w:t>
      </w:r>
    </w:p>
    <w:p>
      <w:pPr>
        <w:pageBreakBefore w:val="0"/>
        <w:kinsoku/>
        <w:wordWrap/>
        <w:overflowPunct/>
        <w:topLinePunct w:val="0"/>
        <w:autoSpaceDE/>
        <w:autoSpaceDN/>
        <w:bidi w:val="0"/>
        <w:adjustRightInd w:val="0"/>
        <w:snapToGrid w:val="0"/>
        <w:spacing w:line="560" w:lineRule="exact"/>
        <w:ind w:firstLine="643" w:firstLineChars="200"/>
        <w:rPr>
          <w:rFonts w:hint="eastAsia" w:ascii="仿宋_GB2312" w:hAnsi="宋体" w:eastAsia="仿宋_GB2312"/>
          <w:sz w:val="32"/>
          <w:szCs w:val="32"/>
        </w:rPr>
      </w:pPr>
      <w:r>
        <w:rPr>
          <w:rFonts w:hint="eastAsia" w:ascii="仿宋_GB2312" w:hAnsi="宋体" w:eastAsia="仿宋_GB2312" w:cs="黑体"/>
          <w:b/>
          <w:sz w:val="32"/>
          <w:szCs w:val="32"/>
        </w:rPr>
        <w:t>2.资源与平台的整合不够充分。</w:t>
      </w:r>
      <w:r>
        <w:rPr>
          <w:rFonts w:hint="eastAsia" w:ascii="仿宋_GB2312" w:hAnsi="宋体" w:eastAsia="仿宋_GB2312"/>
          <w:sz w:val="32"/>
          <w:szCs w:val="32"/>
          <w:lang w:eastAsia="zh-CN"/>
        </w:rPr>
        <w:t>依托在继续教育学院的女子学院未能发挥服务地方的作用，湖州市唯一的省级专业技术人才继续教育基地未能在专技人才培养中做出应有贡献，浙江省民营企业经营管理者培训基地以及与龙泉街道合作的校地共建人才培训基地</w:t>
      </w:r>
      <w:r>
        <w:rPr>
          <w:rFonts w:hint="eastAsia" w:ascii="仿宋_GB2312" w:hAnsi="宋体" w:eastAsia="仿宋_GB2312"/>
          <w:sz w:val="32"/>
          <w:szCs w:val="32"/>
          <w:lang w:val="en-US" w:eastAsia="zh-CN"/>
        </w:rPr>
        <w:t>开发和合作的深度与广度还不够充分。</w:t>
      </w:r>
      <w:r>
        <w:rPr>
          <w:rFonts w:hint="eastAsia" w:ascii="仿宋_GB2312" w:hAnsi="宋体" w:eastAsia="仿宋_GB2312"/>
          <w:sz w:val="32"/>
          <w:szCs w:val="32"/>
          <w:lang w:eastAsia="zh-CN"/>
        </w:rPr>
        <w:t>各二级学院以及职能部门建设的与继续教育密切相关的基地等资源，未被有效和充分地挖掘</w:t>
      </w:r>
      <w:r>
        <w:rPr>
          <w:rFonts w:hint="eastAsia" w:ascii="仿宋_GB2312" w:hAnsi="宋体" w:eastAsia="仿宋_GB2312"/>
          <w:sz w:val="32"/>
          <w:szCs w:val="32"/>
        </w:rPr>
        <w:t>。</w:t>
      </w:r>
    </w:p>
    <w:p>
      <w:pPr>
        <w:pageBreakBefore w:val="0"/>
        <w:kinsoku/>
        <w:wordWrap/>
        <w:overflowPunct/>
        <w:topLinePunct w:val="0"/>
        <w:autoSpaceDE/>
        <w:autoSpaceDN/>
        <w:bidi w:val="0"/>
        <w:adjustRightInd w:val="0"/>
        <w:snapToGrid w:val="0"/>
        <w:spacing w:line="560" w:lineRule="exact"/>
        <w:ind w:firstLine="643" w:firstLineChars="200"/>
        <w:jc w:val="left"/>
        <w:rPr>
          <w:rFonts w:hint="eastAsia" w:ascii="仿宋_GB2312" w:hAnsi="宋体" w:eastAsia="仿宋_GB2312"/>
          <w:sz w:val="32"/>
          <w:szCs w:val="32"/>
        </w:rPr>
      </w:pPr>
      <w:r>
        <w:rPr>
          <w:rFonts w:hint="eastAsia" w:ascii="仿宋_GB2312" w:hAnsi="宋体" w:eastAsia="仿宋_GB2312" w:cs="黑体"/>
          <w:b/>
          <w:sz w:val="32"/>
          <w:szCs w:val="32"/>
        </w:rPr>
        <w:t>3.条件与保障的能力不够充足。</w:t>
      </w:r>
      <w:r>
        <w:rPr>
          <w:rFonts w:hint="eastAsia" w:ascii="仿宋_GB2312" w:hAnsi="宋体" w:eastAsia="仿宋_GB2312"/>
          <w:sz w:val="32"/>
          <w:szCs w:val="32"/>
        </w:rPr>
        <w:t>信息化建设相对滞后，“以在线课程为主，面授、辅导相结合”的教学模式</w:t>
      </w:r>
      <w:r>
        <w:rPr>
          <w:rFonts w:hint="eastAsia" w:ascii="仿宋_GB2312" w:hAnsi="宋体" w:eastAsia="仿宋_GB2312"/>
          <w:sz w:val="32"/>
          <w:szCs w:val="32"/>
          <w:lang w:eastAsia="zh-CN"/>
        </w:rPr>
        <w:t>尚未形成，</w:t>
      </w:r>
      <w:r>
        <w:rPr>
          <w:rFonts w:hint="eastAsia" w:ascii="仿宋_GB2312" w:hAnsi="宋体" w:eastAsia="仿宋_GB2312"/>
          <w:sz w:val="32"/>
          <w:szCs w:val="32"/>
        </w:rPr>
        <w:t>教学手段、管理模式</w:t>
      </w:r>
      <w:r>
        <w:rPr>
          <w:rFonts w:hint="eastAsia" w:ascii="仿宋_GB2312" w:hAnsi="宋体" w:eastAsia="仿宋_GB2312"/>
          <w:sz w:val="32"/>
          <w:szCs w:val="32"/>
          <w:lang w:eastAsia="zh-CN"/>
        </w:rPr>
        <w:t>不能满足发展的需求。参与继续教育的课时量、创收的经费金额，还不能在职称评定、岗位聘任、评优评奖中得以充分体现。</w:t>
      </w:r>
      <w:r>
        <w:rPr>
          <w:rFonts w:hint="eastAsia" w:ascii="仿宋_GB2312" w:hAnsi="宋体" w:eastAsia="仿宋_GB2312"/>
          <w:sz w:val="32"/>
          <w:szCs w:val="32"/>
        </w:rPr>
        <w:t>教学场地、住宿条件等资源已无法满足继续教育市场化发展的需要。</w:t>
      </w:r>
    </w:p>
    <w:p>
      <w:pPr>
        <w:pageBreakBefore w:val="0"/>
        <w:kinsoku/>
        <w:wordWrap/>
        <w:overflowPunct/>
        <w:topLinePunct w:val="0"/>
        <w:autoSpaceDE/>
        <w:autoSpaceDN/>
        <w:bidi w:val="0"/>
        <w:adjustRightInd w:val="0"/>
        <w:snapToGrid w:val="0"/>
        <w:spacing w:line="560" w:lineRule="exact"/>
        <w:ind w:firstLine="643" w:firstLineChars="200"/>
        <w:rPr>
          <w:rFonts w:hint="eastAsia" w:ascii="仿宋_GB2312" w:hAnsi="宋体" w:eastAsia="仿宋_GB2312"/>
          <w:sz w:val="32"/>
          <w:szCs w:val="32"/>
        </w:rPr>
      </w:pPr>
      <w:r>
        <w:rPr>
          <w:rFonts w:hint="eastAsia" w:ascii="仿宋_GB2312" w:hAnsi="宋体" w:eastAsia="仿宋_GB2312" w:cs="黑体"/>
          <w:b/>
          <w:sz w:val="32"/>
          <w:szCs w:val="32"/>
        </w:rPr>
        <w:t>4.内控与治理的机制不够健全。</w:t>
      </w:r>
      <w:r>
        <w:rPr>
          <w:rFonts w:hint="eastAsia" w:ascii="仿宋_GB2312" w:hAnsi="宋体" w:eastAsia="仿宋_GB2312"/>
          <w:sz w:val="32"/>
          <w:szCs w:val="32"/>
        </w:rPr>
        <w:t>学院</w:t>
      </w:r>
      <w:r>
        <w:rPr>
          <w:rFonts w:hint="eastAsia" w:ascii="仿宋_GB2312" w:hAnsi="宋体" w:eastAsia="仿宋_GB2312"/>
          <w:sz w:val="32"/>
          <w:szCs w:val="32"/>
          <w:lang w:eastAsia="zh-CN"/>
        </w:rPr>
        <w:t>内部控制管理机制还不够健全，内控制度还需进一步完善，不相容岗位和不相容职务还未能按要求做到有效分离。学院内部治理的层次与水平有待进一步提高，目标确定、责任认定、内部激励机制建构还存在较大提升空间</w:t>
      </w:r>
      <w:r>
        <w:rPr>
          <w:rFonts w:hint="eastAsia" w:ascii="仿宋_GB2312" w:hAnsi="宋体" w:eastAsia="仿宋_GB2312"/>
          <w:sz w:val="32"/>
          <w:szCs w:val="32"/>
        </w:rPr>
        <w:t>。</w:t>
      </w:r>
    </w:p>
    <w:p>
      <w:pPr>
        <w:pageBreakBefore w:val="0"/>
        <w:kinsoku/>
        <w:wordWrap/>
        <w:overflowPunct/>
        <w:topLinePunct w:val="0"/>
        <w:autoSpaceDE/>
        <w:autoSpaceDN/>
        <w:bidi w:val="0"/>
        <w:adjustRightInd w:val="0"/>
        <w:snapToGrid w:val="0"/>
        <w:spacing w:line="560" w:lineRule="exact"/>
        <w:ind w:firstLine="643" w:firstLineChars="200"/>
        <w:rPr>
          <w:rFonts w:hint="eastAsia" w:ascii="楷体" w:hAnsi="楷体" w:eastAsia="楷体" w:cs="黑体"/>
          <w:b/>
          <w:sz w:val="32"/>
          <w:szCs w:val="32"/>
        </w:rPr>
      </w:pPr>
      <w:r>
        <w:rPr>
          <w:rFonts w:hint="eastAsia" w:ascii="楷体" w:hAnsi="楷体" w:eastAsia="楷体" w:cs="黑体"/>
          <w:b/>
          <w:sz w:val="32"/>
          <w:szCs w:val="32"/>
        </w:rPr>
        <w:t>（三）面临的机遇与挑战</w:t>
      </w:r>
    </w:p>
    <w:p>
      <w:pPr>
        <w:pageBreakBefore w:val="0"/>
        <w:kinsoku/>
        <w:wordWrap/>
        <w:overflowPunct/>
        <w:topLinePunct w:val="0"/>
        <w:autoSpaceDE/>
        <w:autoSpaceDN/>
        <w:bidi w:val="0"/>
        <w:adjustRightInd w:val="0"/>
        <w:snapToGrid w:val="0"/>
        <w:spacing w:line="560" w:lineRule="exact"/>
        <w:ind w:firstLine="630" w:firstLineChars="196"/>
        <w:rPr>
          <w:rFonts w:hint="eastAsia" w:ascii="仿宋_GB2312" w:hAnsi="宋体" w:eastAsia="仿宋_GB2312" w:cs="黑体"/>
          <w:b/>
          <w:sz w:val="32"/>
          <w:szCs w:val="32"/>
          <w:lang w:eastAsia="zh-CN"/>
        </w:rPr>
      </w:pPr>
      <w:r>
        <w:rPr>
          <w:rFonts w:hint="eastAsia" w:ascii="仿宋_GB2312" w:hAnsi="宋体" w:eastAsia="仿宋_GB2312" w:cs="黑体"/>
          <w:b/>
          <w:sz w:val="32"/>
          <w:szCs w:val="32"/>
        </w:rPr>
        <w:t>1.“十四五”发展面临的机遇</w:t>
      </w:r>
      <w:r>
        <w:rPr>
          <w:rFonts w:hint="eastAsia" w:ascii="仿宋_GB2312" w:hAnsi="宋体" w:eastAsia="仿宋_GB2312" w:cs="黑体"/>
          <w:b/>
          <w:sz w:val="32"/>
          <w:szCs w:val="32"/>
          <w:lang w:eastAsia="zh-CN"/>
        </w:rPr>
        <w:t>。</w:t>
      </w:r>
    </w:p>
    <w:p>
      <w:pPr>
        <w:pageBreakBefore w:val="0"/>
        <w:kinsoku/>
        <w:wordWrap/>
        <w:overflowPunct/>
        <w:topLinePunct w:val="0"/>
        <w:autoSpaceDE/>
        <w:autoSpaceDN/>
        <w:bidi w:val="0"/>
        <w:adjustRightInd w:val="0"/>
        <w:snapToGrid w:val="0"/>
        <w:spacing w:line="560" w:lineRule="exact"/>
        <w:ind w:firstLine="643" w:firstLineChars="200"/>
        <w:rPr>
          <w:rFonts w:hint="eastAsia" w:ascii="仿宋_GB2312" w:hAnsi="宋体" w:eastAsia="仿宋_GB2312"/>
          <w:sz w:val="32"/>
          <w:szCs w:val="32"/>
        </w:rPr>
      </w:pPr>
      <w:r>
        <w:rPr>
          <w:rFonts w:hint="eastAsia" w:ascii="仿宋_GB2312" w:hAnsi="宋体" w:eastAsia="仿宋_GB2312" w:cs="黑体"/>
          <w:b/>
          <w:sz w:val="32"/>
          <w:szCs w:val="32"/>
        </w:rPr>
        <w:t>(1)学习型社会的建设进入快车道。</w:t>
      </w:r>
      <w:r>
        <w:rPr>
          <w:rFonts w:hint="eastAsia" w:ascii="仿宋_GB2312" w:hAnsi="宋体" w:eastAsia="仿宋_GB2312"/>
          <w:sz w:val="32"/>
          <w:szCs w:val="32"/>
        </w:rPr>
        <w:t>《中共中央关于制定国民经济和社会发展第十四个五年规划和二</w:t>
      </w:r>
      <w:r>
        <w:rPr>
          <w:rFonts w:hint="eastAsia" w:ascii="仿宋_GB2312" w:hAnsi="宋体"/>
          <w:sz w:val="32"/>
          <w:szCs w:val="32"/>
        </w:rPr>
        <w:t>〇</w:t>
      </w:r>
      <w:r>
        <w:rPr>
          <w:rFonts w:hint="eastAsia" w:ascii="仿宋_GB2312" w:hAnsi="宋体" w:eastAsia="仿宋_GB2312"/>
          <w:sz w:val="32"/>
          <w:szCs w:val="32"/>
        </w:rPr>
        <w:t>三五年远景目标的建议》强调“完善终身学习体系，建设学习型社会”。《中国教育现代化2035》主要发展目标中将“构建服务全民的终身学习体系”排在首位。推动教育事业的高质量发展，需要始终把教育摆在优先发展的战略位置，努力发展全民教育、终身教育，推进继续教育，建设学习型社会。</w:t>
      </w:r>
    </w:p>
    <w:p>
      <w:pPr>
        <w:pageBreakBefore w:val="0"/>
        <w:kinsoku/>
        <w:wordWrap/>
        <w:overflowPunct/>
        <w:topLinePunct w:val="0"/>
        <w:autoSpaceDE/>
        <w:autoSpaceDN/>
        <w:bidi w:val="0"/>
        <w:adjustRightInd w:val="0"/>
        <w:snapToGrid w:val="0"/>
        <w:spacing w:line="560" w:lineRule="exact"/>
        <w:ind w:firstLine="643" w:firstLineChars="200"/>
        <w:rPr>
          <w:rFonts w:hint="eastAsia" w:ascii="仿宋_GB2312" w:hAnsi="宋体" w:eastAsia="仿宋_GB2312"/>
          <w:sz w:val="32"/>
          <w:szCs w:val="32"/>
        </w:rPr>
      </w:pPr>
      <w:r>
        <w:rPr>
          <w:rFonts w:hint="eastAsia" w:ascii="仿宋_GB2312" w:hAnsi="宋体" w:eastAsia="仿宋_GB2312" w:cs="黑体"/>
          <w:b/>
          <w:sz w:val="32"/>
          <w:szCs w:val="32"/>
        </w:rPr>
        <w:t>(2)老龄化社会的发展进入高峰期。</w:t>
      </w:r>
      <w:r>
        <w:rPr>
          <w:rFonts w:hint="eastAsia" w:ascii="仿宋_GB2312" w:hAnsi="宋体" w:eastAsia="仿宋_GB2312"/>
          <w:sz w:val="32"/>
          <w:szCs w:val="32"/>
        </w:rPr>
        <w:t>我国已进入老龄化社会，2019年3月《国务院办公厅关于推进养老服务发展的意见》提出大力发展老年教育，鼓励各类教育机构通过多种形式举办或参与老年教育，老年教育已成为我国教育事业和老龄事业的重要组成部分。发展老年教育，是实现教育现代化、建设学习型社会的重要举措。</w:t>
      </w:r>
    </w:p>
    <w:p>
      <w:pPr>
        <w:pageBreakBefore w:val="0"/>
        <w:kinsoku/>
        <w:wordWrap/>
        <w:overflowPunct/>
        <w:topLinePunct w:val="0"/>
        <w:autoSpaceDE/>
        <w:autoSpaceDN/>
        <w:bidi w:val="0"/>
        <w:adjustRightInd w:val="0"/>
        <w:snapToGrid w:val="0"/>
        <w:spacing w:line="560" w:lineRule="exact"/>
        <w:ind w:firstLine="643" w:firstLineChars="200"/>
        <w:rPr>
          <w:rFonts w:hint="eastAsia" w:ascii="仿宋_GB2312" w:hAnsi="宋体" w:eastAsia="仿宋_GB2312"/>
          <w:sz w:val="32"/>
          <w:szCs w:val="32"/>
        </w:rPr>
      </w:pPr>
      <w:r>
        <w:rPr>
          <w:rFonts w:hint="eastAsia" w:ascii="仿宋_GB2312" w:hAnsi="宋体" w:eastAsia="仿宋_GB2312" w:cs="黑体"/>
          <w:b/>
          <w:sz w:val="32"/>
          <w:szCs w:val="32"/>
        </w:rPr>
        <w:t>(3)职业教育的发展提上新高度。</w:t>
      </w:r>
      <w:r>
        <w:rPr>
          <w:rFonts w:hint="eastAsia" w:ascii="仿宋_GB2312" w:hAnsi="宋体" w:eastAsia="仿宋_GB2312"/>
          <w:sz w:val="32"/>
          <w:szCs w:val="32"/>
        </w:rPr>
        <w:t>《国家职业教育改革实施方案》中指出，职业教育与普通教育具有同等重要地位。2021年4月的</w:t>
      </w:r>
      <w:r>
        <w:rPr>
          <w:rFonts w:hint="eastAsia" w:ascii="仿宋_GB2312" w:hAnsi="宋体" w:eastAsia="仿宋_GB2312" w:cs="Arial"/>
          <w:spacing w:val="8"/>
          <w:sz w:val="32"/>
          <w:szCs w:val="32"/>
          <w:shd w:val="clear" w:color="auto" w:fill="FFFFFF"/>
        </w:rPr>
        <w:t>全国职业教育大会，强调</w:t>
      </w:r>
      <w:r>
        <w:rPr>
          <w:rFonts w:hint="eastAsia" w:ascii="仿宋_GB2312" w:hAnsi="宋体" w:eastAsia="仿宋_GB2312" w:cs="Arial"/>
          <w:sz w:val="32"/>
          <w:szCs w:val="32"/>
          <w:shd w:val="clear" w:color="auto" w:fill="FFFFFF"/>
        </w:rPr>
        <w:t>畅通职业发展通道，职业教育要和普通教育横向融合、协调发展。</w:t>
      </w:r>
      <w:r>
        <w:rPr>
          <w:rFonts w:hint="eastAsia" w:ascii="仿宋_GB2312" w:hAnsi="宋体" w:eastAsia="仿宋_GB2312"/>
          <w:sz w:val="32"/>
          <w:szCs w:val="32"/>
        </w:rPr>
        <w:t>《中国教育现代化2035》和《加快推进教育现代化实施方案（2018-2022年）》，明确要求推进基础教育、职业教育、高等教育和继续教育协调发展。</w:t>
      </w:r>
    </w:p>
    <w:p>
      <w:pPr>
        <w:pStyle w:val="3"/>
        <w:pageBreakBefore w:val="0"/>
        <w:widowControl/>
        <w:shd w:val="clear" w:color="auto" w:fill="FFFFFF"/>
        <w:kinsoku/>
        <w:wordWrap/>
        <w:overflowPunct/>
        <w:topLinePunct w:val="0"/>
        <w:autoSpaceDE/>
        <w:autoSpaceDN/>
        <w:bidi w:val="0"/>
        <w:adjustRightInd w:val="0"/>
        <w:snapToGrid w:val="0"/>
        <w:spacing w:before="0" w:beforeAutospacing="0" w:after="0" w:afterAutospacing="0" w:line="560" w:lineRule="exact"/>
        <w:ind w:firstLine="643" w:firstLineChars="200"/>
        <w:rPr>
          <w:rFonts w:ascii="仿宋_GB2312" w:eastAsia="仿宋_GB2312"/>
          <w:sz w:val="32"/>
          <w:szCs w:val="32"/>
        </w:rPr>
      </w:pPr>
      <w:r>
        <w:rPr>
          <w:rFonts w:ascii="仿宋_GB2312" w:eastAsia="仿宋_GB2312" w:cs="黑体"/>
          <w:kern w:val="2"/>
          <w:sz w:val="32"/>
          <w:szCs w:val="32"/>
        </w:rPr>
        <w:t>(4)素质教育的探索进入新阶段。</w:t>
      </w:r>
      <w:r>
        <w:rPr>
          <w:rFonts w:ascii="仿宋_GB2312" w:eastAsia="仿宋_GB2312"/>
          <w:b w:val="0"/>
          <w:kern w:val="2"/>
          <w:sz w:val="32"/>
          <w:szCs w:val="32"/>
        </w:rPr>
        <w:t>2020年10月15日，中共中央办公厅、国务院办公厅印发了《关于全面加强和改进新时代学校体育工作的意见》和《关于全面加强和改进新时代学校美育工作的意见》；2020年3月20日，中共中央国务院下发了《关于全面加强新时代大中小学劳动教育的意见》，随后教育部印发《大中小学劳动教育指导纲要（试行）》。一系列的政策支持，对学生的素质教育提出了新的要求</w:t>
      </w:r>
      <w:r>
        <w:rPr>
          <w:rFonts w:hint="eastAsia" w:ascii="仿宋_GB2312" w:eastAsia="仿宋_GB2312"/>
          <w:b w:val="0"/>
          <w:kern w:val="2"/>
          <w:sz w:val="32"/>
          <w:szCs w:val="32"/>
          <w:lang w:eastAsia="zh-CN"/>
        </w:rPr>
        <w:t>。习近平</w:t>
      </w:r>
      <w:r>
        <w:rPr>
          <w:rFonts w:hint="eastAsia" w:ascii="仿宋_GB2312" w:eastAsia="仿宋_GB2312"/>
          <w:b w:val="0"/>
          <w:kern w:val="2"/>
          <w:sz w:val="32"/>
          <w:szCs w:val="32"/>
          <w:lang w:val="en-US" w:eastAsia="zh-CN"/>
        </w:rPr>
        <w:t>2021年4月19日考察清华大学时，先后视察了美术学院、成像与智能技术实验室、重点教学科研成果展示、西体育馆则给出更加清晰的信号。对素质教育发展要求，尤其是对美育、体育和科技的发展要求进入</w:t>
      </w:r>
      <w:r>
        <w:rPr>
          <w:rFonts w:ascii="仿宋_GB2312" w:eastAsia="仿宋_GB2312"/>
          <w:b w:val="0"/>
          <w:kern w:val="2"/>
          <w:sz w:val="32"/>
          <w:szCs w:val="32"/>
        </w:rPr>
        <w:t>了新的阶段，为继续教育业务拓展提供新的视角。</w:t>
      </w:r>
    </w:p>
    <w:p>
      <w:pPr>
        <w:pageBreakBefore w:val="0"/>
        <w:kinsoku/>
        <w:wordWrap/>
        <w:overflowPunct/>
        <w:topLinePunct w:val="0"/>
        <w:autoSpaceDE/>
        <w:autoSpaceDN/>
        <w:bidi w:val="0"/>
        <w:adjustRightInd w:val="0"/>
        <w:snapToGrid w:val="0"/>
        <w:spacing w:line="560" w:lineRule="exact"/>
        <w:ind w:firstLine="630" w:firstLineChars="196"/>
        <w:rPr>
          <w:rFonts w:hint="eastAsia" w:ascii="仿宋_GB2312" w:hAnsi="宋体" w:eastAsia="仿宋_GB2312" w:cs="黑体"/>
          <w:b/>
          <w:sz w:val="32"/>
          <w:szCs w:val="32"/>
          <w:lang w:eastAsia="zh-CN"/>
        </w:rPr>
      </w:pPr>
      <w:r>
        <w:rPr>
          <w:rFonts w:hint="eastAsia" w:ascii="仿宋_GB2312" w:hAnsi="宋体" w:eastAsia="仿宋_GB2312" w:cs="黑体"/>
          <w:b/>
          <w:sz w:val="32"/>
          <w:szCs w:val="32"/>
        </w:rPr>
        <w:t>2.“十四五”发展面临的挑战</w:t>
      </w:r>
      <w:r>
        <w:rPr>
          <w:rFonts w:hint="eastAsia" w:ascii="仿宋_GB2312" w:hAnsi="宋体" w:eastAsia="仿宋_GB2312" w:cs="黑体"/>
          <w:b/>
          <w:sz w:val="32"/>
          <w:szCs w:val="32"/>
          <w:lang w:eastAsia="zh-CN"/>
        </w:rPr>
        <w:t>。</w:t>
      </w:r>
    </w:p>
    <w:p>
      <w:pPr>
        <w:pageBreakBefore w:val="0"/>
        <w:kinsoku/>
        <w:wordWrap/>
        <w:overflowPunct/>
        <w:topLinePunct w:val="0"/>
        <w:autoSpaceDE/>
        <w:autoSpaceDN/>
        <w:bidi w:val="0"/>
        <w:adjustRightInd w:val="0"/>
        <w:snapToGrid w:val="0"/>
        <w:spacing w:line="560" w:lineRule="exact"/>
        <w:ind w:firstLine="630" w:firstLineChars="196"/>
        <w:rPr>
          <w:rFonts w:hint="eastAsia" w:ascii="仿宋_GB2312" w:hAnsi="宋体" w:eastAsia="仿宋_GB2312" w:cs="黑体"/>
          <w:sz w:val="32"/>
          <w:szCs w:val="32"/>
        </w:rPr>
      </w:pPr>
      <w:r>
        <w:rPr>
          <w:rFonts w:hint="eastAsia" w:ascii="仿宋_GB2312" w:hAnsi="宋体" w:eastAsia="仿宋_GB2312" w:cs="黑体"/>
          <w:b/>
          <w:sz w:val="32"/>
          <w:szCs w:val="32"/>
        </w:rPr>
        <w:t>(1)高职院校持续扩招的影响。</w:t>
      </w:r>
      <w:r>
        <w:rPr>
          <w:rFonts w:hint="eastAsia" w:ascii="仿宋_GB2312" w:hAnsi="宋体" w:eastAsia="仿宋_GB2312"/>
          <w:sz w:val="32"/>
          <w:szCs w:val="32"/>
        </w:rPr>
        <w:t>2020—2021年国家继续高职扩招200万人，与此同时，鼓励退役军人、下岗失业人员、农民工和新型职业农民参与高职扩招，高职扩招与</w:t>
      </w:r>
      <w:r>
        <w:rPr>
          <w:rFonts w:hint="eastAsia" w:ascii="仿宋_GB2312" w:hAnsi="宋体" w:eastAsia="仿宋_GB2312" w:cs="黑体"/>
          <w:sz w:val="32"/>
          <w:szCs w:val="32"/>
        </w:rPr>
        <w:t>成人学历教育招录生源趋同，继续教育将不可避免地迎来生源数量下降的挑战。</w:t>
      </w:r>
    </w:p>
    <w:p>
      <w:pPr>
        <w:pageBreakBefore w:val="0"/>
        <w:kinsoku/>
        <w:wordWrap/>
        <w:overflowPunct/>
        <w:topLinePunct w:val="0"/>
        <w:autoSpaceDE/>
        <w:autoSpaceDN/>
        <w:bidi w:val="0"/>
        <w:adjustRightInd w:val="0"/>
        <w:snapToGrid w:val="0"/>
        <w:spacing w:line="560" w:lineRule="exact"/>
        <w:ind w:firstLine="630" w:firstLineChars="196"/>
        <w:rPr>
          <w:rFonts w:hint="eastAsia" w:ascii="仿宋_GB2312" w:hAnsi="宋体" w:eastAsia="仿宋_GB2312"/>
          <w:sz w:val="32"/>
          <w:szCs w:val="32"/>
        </w:rPr>
      </w:pPr>
      <w:r>
        <w:rPr>
          <w:rFonts w:hint="eastAsia" w:ascii="仿宋_GB2312" w:hAnsi="宋体" w:eastAsia="仿宋_GB2312" w:cs="黑体"/>
          <w:b/>
          <w:sz w:val="32"/>
          <w:szCs w:val="32"/>
        </w:rPr>
        <w:t>(2)浙江继续教育政策的调整。</w:t>
      </w:r>
      <w:r>
        <w:rPr>
          <w:rFonts w:hint="eastAsia" w:ascii="仿宋_GB2312" w:hAnsi="宋体" w:eastAsia="仿宋_GB2312" w:cs="黑体"/>
          <w:sz w:val="32"/>
          <w:szCs w:val="32"/>
        </w:rPr>
        <w:t>浙江省持续调整优化</w:t>
      </w:r>
      <w:r>
        <w:rPr>
          <w:rFonts w:hint="eastAsia" w:ascii="仿宋_GB2312" w:hAnsi="宋体" w:eastAsia="仿宋_GB2312"/>
          <w:sz w:val="32"/>
          <w:szCs w:val="32"/>
        </w:rPr>
        <w:t>成人高等学历教育</w:t>
      </w:r>
      <w:r>
        <w:rPr>
          <w:rFonts w:hint="eastAsia" w:ascii="仿宋_GB2312" w:hAnsi="宋体" w:eastAsia="仿宋_GB2312"/>
          <w:sz w:val="32"/>
          <w:szCs w:val="32"/>
          <w:lang w:eastAsia="zh-CN"/>
        </w:rPr>
        <w:t>的</w:t>
      </w:r>
      <w:r>
        <w:rPr>
          <w:rFonts w:hint="eastAsia" w:ascii="仿宋_GB2312" w:hAnsi="宋体" w:eastAsia="仿宋_GB2312"/>
          <w:sz w:val="32"/>
          <w:szCs w:val="32"/>
        </w:rPr>
        <w:t>招生、专业等政策，“从2023年起，无普通高职（专科）计划的本科高校将不再安排成人专科计划”对继续教育高质量发展提出了更高的要求。</w:t>
      </w:r>
    </w:p>
    <w:p>
      <w:pPr>
        <w:pageBreakBefore w:val="0"/>
        <w:kinsoku/>
        <w:wordWrap/>
        <w:overflowPunct/>
        <w:topLinePunct w:val="0"/>
        <w:autoSpaceDE/>
        <w:autoSpaceDN/>
        <w:bidi w:val="0"/>
        <w:adjustRightInd w:val="0"/>
        <w:snapToGrid w:val="0"/>
        <w:spacing w:line="560" w:lineRule="exact"/>
        <w:ind w:firstLine="630" w:firstLineChars="196"/>
        <w:rPr>
          <w:rFonts w:hint="eastAsia" w:ascii="仿宋_GB2312" w:hAnsi="宋体" w:eastAsia="仿宋_GB2312"/>
          <w:sz w:val="32"/>
          <w:szCs w:val="32"/>
        </w:rPr>
      </w:pPr>
      <w:r>
        <w:rPr>
          <w:rFonts w:hint="eastAsia" w:ascii="仿宋_GB2312" w:hAnsi="宋体" w:eastAsia="仿宋_GB2312" w:cs="黑体"/>
          <w:b/>
          <w:sz w:val="32"/>
          <w:szCs w:val="32"/>
        </w:rPr>
        <w:t>(3)在线教学模式改革的冲击。</w:t>
      </w:r>
      <w:r>
        <w:rPr>
          <w:rFonts w:hint="eastAsia" w:ascii="仿宋_GB2312" w:hAnsi="宋体" w:eastAsia="仿宋_GB2312"/>
          <w:sz w:val="32"/>
          <w:szCs w:val="32"/>
        </w:rPr>
        <w:t>疫情期间在线教学的大规模运行，给当前的教育模式、教育理念、专业建设和课程体系带来了深刻变革，社会机构灵活的办学体制、运行机制，对继续教育传统市场带来冲击，在线教学将成为继续教育新的服务方向和领域。</w:t>
      </w:r>
    </w:p>
    <w:p>
      <w:pPr>
        <w:pageBreakBefore w:val="0"/>
        <w:kinsoku/>
        <w:wordWrap/>
        <w:overflowPunct/>
        <w:topLinePunct w:val="0"/>
        <w:autoSpaceDE/>
        <w:autoSpaceDN/>
        <w:bidi w:val="0"/>
        <w:adjustRightInd w:val="0"/>
        <w:snapToGrid w:val="0"/>
        <w:spacing w:line="560" w:lineRule="exact"/>
        <w:ind w:firstLine="630" w:firstLineChars="196"/>
        <w:rPr>
          <w:rFonts w:hint="eastAsia" w:ascii="仿宋_GB2312" w:hAnsi="宋体" w:eastAsia="仿宋_GB2312" w:cs="黑体"/>
          <w:b/>
          <w:sz w:val="32"/>
          <w:szCs w:val="32"/>
        </w:rPr>
      </w:pPr>
      <w:r>
        <w:rPr>
          <w:rFonts w:hint="eastAsia" w:ascii="仿宋_GB2312" w:hAnsi="宋体" w:eastAsia="仿宋_GB2312" w:cs="黑体"/>
          <w:b/>
          <w:sz w:val="32"/>
          <w:szCs w:val="32"/>
        </w:rPr>
        <w:t>(4)学校</w:t>
      </w:r>
      <w:r>
        <w:rPr>
          <w:rFonts w:hint="eastAsia" w:ascii="仿宋_GB2312" w:hAnsi="宋体" w:eastAsia="仿宋_GB2312" w:cs="黑体"/>
          <w:b/>
          <w:sz w:val="32"/>
          <w:szCs w:val="32"/>
          <w:lang w:eastAsia="zh-CN"/>
        </w:rPr>
        <w:t>区位发展</w:t>
      </w:r>
      <w:r>
        <w:rPr>
          <w:rFonts w:hint="eastAsia" w:ascii="仿宋_GB2312" w:hAnsi="宋体" w:eastAsia="仿宋_GB2312" w:cs="黑体"/>
          <w:b/>
          <w:sz w:val="32"/>
          <w:szCs w:val="32"/>
        </w:rPr>
        <w:t>优势的裂变。</w:t>
      </w:r>
      <w:r>
        <w:rPr>
          <w:rFonts w:hint="eastAsia" w:ascii="仿宋_GB2312" w:hAnsi="宋体" w:eastAsia="仿宋_GB2312"/>
          <w:sz w:val="32"/>
          <w:szCs w:val="32"/>
          <w:lang w:eastAsia="zh-CN"/>
        </w:rPr>
        <w:t>我校作为湖州地区唯一一所本科高校，随着</w:t>
      </w:r>
      <w:r>
        <w:rPr>
          <w:rFonts w:hint="eastAsia" w:ascii="仿宋_GB2312" w:hAnsi="宋体" w:eastAsia="仿宋_GB2312"/>
          <w:sz w:val="32"/>
          <w:szCs w:val="32"/>
        </w:rPr>
        <w:t>湖州学院</w:t>
      </w:r>
      <w:r>
        <w:rPr>
          <w:rFonts w:hint="eastAsia" w:ascii="仿宋_GB2312" w:hAnsi="宋体" w:eastAsia="仿宋_GB2312"/>
          <w:sz w:val="32"/>
          <w:szCs w:val="32"/>
          <w:lang w:eastAsia="zh-CN"/>
        </w:rPr>
        <w:t>的</w:t>
      </w:r>
      <w:r>
        <w:rPr>
          <w:rFonts w:hint="eastAsia" w:ascii="仿宋_GB2312" w:hAnsi="宋体" w:eastAsia="仿宋_GB2312"/>
          <w:sz w:val="32"/>
          <w:szCs w:val="32"/>
        </w:rPr>
        <w:t>成立</w:t>
      </w:r>
      <w:r>
        <w:rPr>
          <w:rFonts w:hint="eastAsia" w:ascii="仿宋_GB2312" w:hAnsi="宋体" w:eastAsia="仿宋_GB2312"/>
          <w:sz w:val="32"/>
          <w:szCs w:val="32"/>
          <w:lang w:eastAsia="zh-CN"/>
        </w:rPr>
        <w:t>一去不复返。</w:t>
      </w:r>
      <w:r>
        <w:rPr>
          <w:rFonts w:hint="eastAsia" w:ascii="仿宋_GB2312" w:hAnsi="宋体" w:eastAsia="仿宋_GB2312"/>
          <w:sz w:val="32"/>
          <w:szCs w:val="32"/>
        </w:rPr>
        <w:t>新</w:t>
      </w:r>
      <w:r>
        <w:rPr>
          <w:rFonts w:hint="eastAsia" w:ascii="仿宋_GB2312" w:hAnsi="宋体" w:eastAsia="仿宋_GB2312" w:cs="黑体"/>
          <w:sz w:val="32"/>
          <w:szCs w:val="32"/>
          <w:lang w:eastAsia="zh-CN"/>
        </w:rPr>
        <w:t>增</w:t>
      </w:r>
      <w:r>
        <w:rPr>
          <w:rFonts w:hint="eastAsia" w:ascii="仿宋_GB2312" w:hAnsi="宋体" w:eastAsia="仿宋_GB2312" w:cs="黑体"/>
          <w:sz w:val="32"/>
          <w:szCs w:val="32"/>
        </w:rPr>
        <w:t>本科高等院校，</w:t>
      </w:r>
      <w:r>
        <w:rPr>
          <w:rFonts w:hint="eastAsia" w:ascii="仿宋_GB2312" w:hAnsi="宋体" w:eastAsia="仿宋_GB2312" w:cs="黑体"/>
          <w:sz w:val="32"/>
          <w:szCs w:val="32"/>
          <w:lang w:eastAsia="zh-CN"/>
        </w:rPr>
        <w:t>在继续教育领域具有极强的同质性，势必</w:t>
      </w:r>
      <w:r>
        <w:rPr>
          <w:rFonts w:hint="eastAsia" w:ascii="仿宋_GB2312" w:hAnsi="宋体" w:eastAsia="仿宋_GB2312"/>
          <w:sz w:val="32"/>
          <w:szCs w:val="32"/>
        </w:rPr>
        <w:t>对我校</w:t>
      </w:r>
      <w:r>
        <w:rPr>
          <w:rFonts w:hint="eastAsia" w:ascii="仿宋_GB2312" w:hAnsi="宋体" w:eastAsia="仿宋_GB2312"/>
          <w:sz w:val="32"/>
          <w:szCs w:val="32"/>
          <w:lang w:eastAsia="zh-CN"/>
        </w:rPr>
        <w:t>在</w:t>
      </w:r>
      <w:r>
        <w:rPr>
          <w:rFonts w:hint="eastAsia" w:ascii="仿宋_GB2312" w:hAnsi="宋体" w:eastAsia="仿宋_GB2312"/>
          <w:sz w:val="32"/>
          <w:szCs w:val="32"/>
        </w:rPr>
        <w:t>区域内发展继续教育的资源和空间带来影响</w:t>
      </w:r>
      <w:r>
        <w:rPr>
          <w:rFonts w:hint="eastAsia" w:ascii="仿宋_GB2312" w:hAnsi="宋体" w:eastAsia="仿宋_GB2312"/>
          <w:bCs/>
          <w:sz w:val="32"/>
          <w:szCs w:val="32"/>
        </w:rPr>
        <w:t>。</w:t>
      </w:r>
    </w:p>
    <w:p>
      <w:pPr>
        <w:pageBreakBefore w:val="0"/>
        <w:kinsoku/>
        <w:wordWrap/>
        <w:overflowPunct/>
        <w:topLinePunct w:val="0"/>
        <w:autoSpaceDE/>
        <w:autoSpaceDN/>
        <w:bidi w:val="0"/>
        <w:adjustRightInd w:val="0"/>
        <w:snapToGrid w:val="0"/>
        <w:spacing w:line="560" w:lineRule="exact"/>
        <w:ind w:firstLine="640" w:firstLineChars="200"/>
        <w:rPr>
          <w:rFonts w:hint="eastAsia" w:ascii="黑体" w:hAnsi="黑体" w:eastAsia="黑体" w:cs="黑体"/>
          <w:b w:val="0"/>
          <w:bCs/>
          <w:sz w:val="32"/>
          <w:szCs w:val="32"/>
        </w:rPr>
      </w:pPr>
      <w:r>
        <w:rPr>
          <w:rFonts w:hint="eastAsia" w:ascii="黑体" w:hAnsi="黑体" w:eastAsia="黑体" w:cs="黑体"/>
          <w:b w:val="0"/>
          <w:bCs/>
          <w:sz w:val="32"/>
          <w:szCs w:val="32"/>
        </w:rPr>
        <w:t>二、指导思想与目标任务</w:t>
      </w:r>
    </w:p>
    <w:p>
      <w:pPr>
        <w:pageBreakBefore w:val="0"/>
        <w:kinsoku/>
        <w:wordWrap/>
        <w:overflowPunct/>
        <w:topLinePunct w:val="0"/>
        <w:autoSpaceDE/>
        <w:autoSpaceDN/>
        <w:bidi w:val="0"/>
        <w:adjustRightInd w:val="0"/>
        <w:snapToGrid w:val="0"/>
        <w:spacing w:line="560" w:lineRule="exact"/>
        <w:ind w:firstLine="630" w:firstLineChars="196"/>
        <w:rPr>
          <w:rFonts w:hint="eastAsia" w:ascii="楷体" w:hAnsi="楷体" w:eastAsia="楷体" w:cs="黑体"/>
          <w:b/>
          <w:sz w:val="32"/>
          <w:szCs w:val="32"/>
        </w:rPr>
      </w:pPr>
      <w:r>
        <w:rPr>
          <w:rFonts w:hint="eastAsia" w:ascii="楷体" w:hAnsi="楷体" w:eastAsia="楷体" w:cs="黑体"/>
          <w:b/>
          <w:sz w:val="32"/>
          <w:szCs w:val="32"/>
        </w:rPr>
        <w:t>（一）指导思想</w:t>
      </w:r>
    </w:p>
    <w:p>
      <w:pPr>
        <w:pageBreakBefore w:val="0"/>
        <w:kinsoku/>
        <w:wordWrap/>
        <w:overflowPunct/>
        <w:topLinePunct w:val="0"/>
        <w:autoSpaceDE/>
        <w:autoSpaceDN/>
        <w:bidi w:val="0"/>
        <w:adjustRightInd w:val="0"/>
        <w:snapToGrid w:val="0"/>
        <w:spacing w:line="560" w:lineRule="exact"/>
        <w:ind w:firstLine="627" w:firstLineChars="196"/>
        <w:rPr>
          <w:rFonts w:hint="eastAsia" w:ascii="楷体" w:hAnsi="楷体" w:eastAsia="楷体" w:cs="黑体"/>
          <w:b/>
          <w:sz w:val="32"/>
          <w:szCs w:val="32"/>
        </w:rPr>
      </w:pPr>
      <w:r>
        <w:rPr>
          <w:rFonts w:hint="eastAsia" w:ascii="仿宋_GB2312" w:hAnsi="宋体" w:eastAsia="仿宋_GB2312"/>
          <w:sz w:val="32"/>
          <w:szCs w:val="32"/>
        </w:rPr>
        <w:t>以习近平总书记关于“办好继续教育”的要求为指导，坚持“因地制宜、体现特色、服务地方”办学方针，落实学校“三步走”战略目标和“3918”战略体系，打造</w:t>
      </w:r>
      <w:r>
        <w:rPr>
          <w:rFonts w:hint="eastAsia" w:ascii="黑体" w:hAnsi="黑体" w:eastAsia="黑体" w:cs="黑体"/>
          <w:sz w:val="32"/>
          <w:szCs w:val="32"/>
        </w:rPr>
        <w:t>继续教育</w:t>
      </w:r>
      <w:r>
        <w:rPr>
          <w:rFonts w:hint="eastAsia" w:ascii="黑体" w:hAnsi="黑体" w:eastAsia="黑体" w:cs="黑体"/>
          <w:sz w:val="32"/>
          <w:szCs w:val="32"/>
          <w:lang w:eastAsia="zh-CN"/>
        </w:rPr>
        <w:t>版本</w:t>
      </w:r>
      <w:r>
        <w:rPr>
          <w:rFonts w:hint="eastAsia" w:ascii="黑体" w:hAnsi="黑体" w:eastAsia="黑体" w:cs="黑体"/>
          <w:sz w:val="32"/>
          <w:szCs w:val="32"/>
        </w:rPr>
        <w:t>的“1010”工程</w:t>
      </w:r>
      <w:r>
        <w:rPr>
          <w:rFonts w:hint="eastAsia" w:ascii="仿宋_GB2312" w:hAnsi="宋体" w:eastAsia="仿宋_GB2312"/>
          <w:sz w:val="32"/>
          <w:szCs w:val="32"/>
        </w:rPr>
        <w:t>。以着力提升继续教育的服务层次、办学水平和培训能力为目标，围绕浙江的“三地一窗口”和湖州的“四个地”作文章，用好、用活“师范”和“</w:t>
      </w:r>
      <w:r>
        <w:rPr>
          <w:rFonts w:hint="eastAsia" w:ascii="仿宋_GB2312" w:hAnsi="宋体" w:eastAsia="仿宋_GB2312"/>
          <w:sz w:val="32"/>
          <w:szCs w:val="32"/>
          <w:lang w:eastAsia="zh-CN"/>
        </w:rPr>
        <w:t>应用</w:t>
      </w:r>
      <w:r>
        <w:rPr>
          <w:rFonts w:hint="eastAsia" w:ascii="仿宋_GB2312" w:hAnsi="宋体" w:eastAsia="仿宋_GB2312"/>
          <w:sz w:val="32"/>
          <w:szCs w:val="32"/>
        </w:rPr>
        <w:t>”两块金字招牌，优化办学资源、开拓服务领域、提高办学效益，努力把饭碗端在自己手上，在应用上下功夫，在落实中见成效，</w:t>
      </w:r>
      <w:r>
        <w:rPr>
          <w:rFonts w:hint="eastAsia" w:ascii="仿宋_GB2312" w:hAnsi="宋体" w:eastAsia="仿宋_GB2312"/>
          <w:sz w:val="32"/>
          <w:szCs w:val="32"/>
          <w:lang w:eastAsia="zh-CN"/>
        </w:rPr>
        <w:t>为</w:t>
      </w:r>
      <w:r>
        <w:rPr>
          <w:rFonts w:hint="eastAsia" w:ascii="仿宋_GB2312" w:hAnsi="宋体" w:eastAsia="仿宋_GB2312"/>
          <w:sz w:val="32"/>
          <w:szCs w:val="32"/>
        </w:rPr>
        <w:t>破解办学资源供给不足与学校事业发展需求旺盛之间的矛盾</w:t>
      </w:r>
      <w:r>
        <w:rPr>
          <w:rFonts w:hint="eastAsia" w:ascii="仿宋_GB2312" w:hAnsi="宋体" w:eastAsia="仿宋_GB2312"/>
          <w:sz w:val="32"/>
          <w:szCs w:val="32"/>
          <w:lang w:eastAsia="zh-CN"/>
        </w:rPr>
        <w:t>贡献力量</w:t>
      </w:r>
      <w:r>
        <w:rPr>
          <w:rFonts w:hint="eastAsia" w:ascii="仿宋_GB2312" w:hAnsi="宋体" w:eastAsia="仿宋_GB2312"/>
          <w:sz w:val="32"/>
          <w:szCs w:val="32"/>
        </w:rPr>
        <w:t>。</w:t>
      </w:r>
    </w:p>
    <w:p>
      <w:pPr>
        <w:pageBreakBefore w:val="0"/>
        <w:kinsoku/>
        <w:wordWrap/>
        <w:overflowPunct/>
        <w:topLinePunct w:val="0"/>
        <w:autoSpaceDE/>
        <w:autoSpaceDN/>
        <w:bidi w:val="0"/>
        <w:adjustRightInd w:val="0"/>
        <w:snapToGrid w:val="0"/>
        <w:spacing w:line="560" w:lineRule="exact"/>
        <w:ind w:firstLine="630" w:firstLineChars="196"/>
        <w:rPr>
          <w:rFonts w:hint="eastAsia" w:ascii="楷体" w:hAnsi="楷体" w:eastAsia="楷体" w:cs="黑体"/>
          <w:b/>
          <w:sz w:val="32"/>
          <w:szCs w:val="32"/>
        </w:rPr>
      </w:pPr>
      <w:r>
        <w:rPr>
          <w:rFonts w:hint="eastAsia" w:ascii="楷体" w:hAnsi="楷体" w:eastAsia="楷体" w:cs="黑体"/>
          <w:b/>
          <w:sz w:val="32"/>
          <w:szCs w:val="32"/>
        </w:rPr>
        <w:t>（二）总体目标</w:t>
      </w:r>
    </w:p>
    <w:p>
      <w:pPr>
        <w:pageBreakBefore w:val="0"/>
        <w:kinsoku/>
        <w:wordWrap/>
        <w:overflowPunct/>
        <w:topLinePunct w:val="0"/>
        <w:autoSpaceDE/>
        <w:autoSpaceDN/>
        <w:bidi w:val="0"/>
        <w:adjustRightInd w:val="0"/>
        <w:snapToGrid w:val="0"/>
        <w:spacing w:line="560" w:lineRule="exact"/>
        <w:ind w:firstLine="627" w:firstLineChars="196"/>
        <w:rPr>
          <w:rFonts w:hint="eastAsia" w:ascii="仿宋_GB2312" w:hAnsi="宋体" w:eastAsia="仿宋_GB2312"/>
          <w:sz w:val="32"/>
          <w:szCs w:val="32"/>
        </w:rPr>
      </w:pPr>
      <w:r>
        <w:rPr>
          <w:rFonts w:hint="eastAsia" w:ascii="仿宋_GB2312" w:hAnsi="宋体" w:eastAsia="仿宋_GB2312"/>
          <w:sz w:val="32"/>
          <w:szCs w:val="32"/>
        </w:rPr>
        <w:t>到2025年形成资源比较丰富、结构相对合理、</w:t>
      </w:r>
      <w:r>
        <w:rPr>
          <w:rFonts w:hint="eastAsia" w:ascii="仿宋_GB2312" w:hAnsi="宋体" w:eastAsia="仿宋_GB2312"/>
          <w:sz w:val="32"/>
          <w:szCs w:val="32"/>
          <w:lang w:eastAsia="zh-CN"/>
        </w:rPr>
        <w:t>形式</w:t>
      </w:r>
      <w:r>
        <w:rPr>
          <w:rFonts w:hint="eastAsia" w:ascii="仿宋_GB2312" w:hAnsi="宋体" w:eastAsia="仿宋_GB2312"/>
          <w:sz w:val="32"/>
          <w:szCs w:val="32"/>
        </w:rPr>
        <w:t>开放灵活的继续教育办学与服务体系。继续教育规模不断增长，体制机制和</w:t>
      </w:r>
      <w:r>
        <w:rPr>
          <w:rFonts w:hint="eastAsia" w:ascii="仿宋_GB2312" w:hAnsi="宋体" w:eastAsia="仿宋_GB2312"/>
          <w:sz w:val="32"/>
          <w:szCs w:val="32"/>
          <w:lang w:eastAsia="zh-CN"/>
        </w:rPr>
        <w:t>规章</w:t>
      </w:r>
      <w:r>
        <w:rPr>
          <w:rFonts w:hint="eastAsia" w:ascii="仿宋_GB2312" w:hAnsi="宋体" w:eastAsia="仿宋_GB2312"/>
          <w:sz w:val="32"/>
          <w:szCs w:val="32"/>
        </w:rPr>
        <w:t>制度基本健全</w:t>
      </w:r>
      <w:r>
        <w:rPr>
          <w:rFonts w:hint="eastAsia" w:ascii="仿宋_GB2312" w:hAnsi="宋体" w:eastAsia="仿宋_GB2312"/>
          <w:sz w:val="32"/>
          <w:szCs w:val="32"/>
          <w:lang w:eastAsia="zh-CN"/>
        </w:rPr>
        <w:t>，社会效益和经济效益大幅提升，“十四五”期间</w:t>
      </w:r>
      <w:r>
        <w:rPr>
          <w:rFonts w:hint="eastAsia" w:ascii="仿宋_GB2312" w:hAnsi="宋体" w:eastAsia="仿宋_GB2312"/>
          <w:sz w:val="32"/>
          <w:szCs w:val="32"/>
        </w:rPr>
        <w:t>总计实现办学毛收入4.5亿元（如表</w:t>
      </w:r>
      <w:r>
        <w:rPr>
          <w:rFonts w:hint="eastAsia" w:ascii="仿宋_GB2312" w:hAnsi="宋体" w:eastAsia="仿宋_GB2312"/>
          <w:sz w:val="32"/>
          <w:szCs w:val="32"/>
          <w:lang w:val="en-US" w:eastAsia="zh-CN"/>
        </w:rPr>
        <w:t>6</w:t>
      </w:r>
      <w:r>
        <w:rPr>
          <w:rFonts w:hint="eastAsia" w:ascii="仿宋_GB2312" w:hAnsi="宋体" w:eastAsia="仿宋_GB2312"/>
          <w:sz w:val="32"/>
          <w:szCs w:val="32"/>
        </w:rPr>
        <w:t>所示）</w:t>
      </w:r>
      <w:r>
        <w:rPr>
          <w:rFonts w:hint="eastAsia" w:ascii="仿宋_GB2312" w:hAnsi="宋体" w:eastAsia="仿宋_GB2312"/>
          <w:sz w:val="32"/>
          <w:szCs w:val="32"/>
          <w:lang w:eastAsia="zh-CN"/>
        </w:rPr>
        <w:t>。</w:t>
      </w:r>
      <w:r>
        <w:rPr>
          <w:rFonts w:hint="eastAsia" w:ascii="仿宋_GB2312" w:hAnsi="宋体" w:eastAsia="仿宋_GB2312"/>
          <w:sz w:val="32"/>
          <w:szCs w:val="32"/>
        </w:rPr>
        <w:t>学历继续教育稳步发展，</w:t>
      </w:r>
      <w:r>
        <w:rPr>
          <w:rFonts w:hint="eastAsia" w:ascii="仿宋_GB2312" w:hAnsi="宋体" w:eastAsia="仿宋_GB2312"/>
          <w:sz w:val="32"/>
          <w:szCs w:val="32"/>
          <w:lang w:eastAsia="zh-CN"/>
        </w:rPr>
        <w:t>层次和种类进一步优化，</w:t>
      </w:r>
      <w:r>
        <w:rPr>
          <w:rFonts w:hint="eastAsia" w:ascii="仿宋_GB2312" w:hAnsi="宋体" w:eastAsia="仿宋_GB2312"/>
          <w:sz w:val="32"/>
          <w:szCs w:val="32"/>
        </w:rPr>
        <w:t>教育</w:t>
      </w:r>
      <w:r>
        <w:rPr>
          <w:rFonts w:hint="eastAsia" w:ascii="仿宋_GB2312" w:hAnsi="宋体" w:eastAsia="仿宋_GB2312"/>
          <w:sz w:val="32"/>
          <w:szCs w:val="32"/>
          <w:lang w:eastAsia="zh-CN"/>
        </w:rPr>
        <w:t>教学</w:t>
      </w:r>
      <w:r>
        <w:rPr>
          <w:rFonts w:hint="eastAsia" w:ascii="仿宋_GB2312" w:hAnsi="宋体" w:eastAsia="仿宋_GB2312"/>
          <w:sz w:val="32"/>
          <w:szCs w:val="32"/>
        </w:rPr>
        <w:t>质量大幅提升</w:t>
      </w:r>
      <w:r>
        <w:rPr>
          <w:rFonts w:hint="eastAsia" w:ascii="仿宋_GB2312" w:hAnsi="宋体" w:eastAsia="仿宋_GB2312"/>
          <w:sz w:val="32"/>
          <w:szCs w:val="32"/>
          <w:lang w:eastAsia="zh-CN"/>
        </w:rPr>
        <w:t>，</w:t>
      </w:r>
      <w:r>
        <w:rPr>
          <w:rFonts w:hint="eastAsia" w:ascii="仿宋_GB2312" w:hAnsi="宋体" w:eastAsia="仿宋_GB2312"/>
          <w:sz w:val="32"/>
          <w:szCs w:val="32"/>
        </w:rPr>
        <w:t>学历教育规模实现毛收入1.3</w:t>
      </w:r>
      <w:r>
        <w:rPr>
          <w:rFonts w:hint="eastAsia" w:ascii="仿宋_GB2312" w:hAnsi="宋体" w:eastAsia="仿宋_GB2312"/>
          <w:sz w:val="32"/>
          <w:szCs w:val="32"/>
          <w:lang w:val="en-US" w:eastAsia="zh-CN"/>
        </w:rPr>
        <w:t>3</w:t>
      </w:r>
      <w:r>
        <w:rPr>
          <w:rFonts w:hint="eastAsia" w:ascii="仿宋_GB2312" w:hAnsi="宋体" w:eastAsia="仿宋_GB2312"/>
          <w:sz w:val="32"/>
          <w:szCs w:val="32"/>
        </w:rPr>
        <w:t>亿元</w:t>
      </w:r>
      <w:r>
        <w:rPr>
          <w:rFonts w:hint="eastAsia" w:ascii="仿宋_GB2312" w:hAnsi="宋体" w:eastAsia="仿宋_GB2312"/>
          <w:sz w:val="32"/>
          <w:szCs w:val="32"/>
          <w:lang w:eastAsia="zh-CN"/>
        </w:rPr>
        <w:t>。</w:t>
      </w:r>
      <w:r>
        <w:rPr>
          <w:rFonts w:hint="eastAsia" w:ascii="仿宋_GB2312" w:hAnsi="宋体" w:eastAsia="仿宋_GB2312"/>
          <w:sz w:val="32"/>
          <w:szCs w:val="32"/>
        </w:rPr>
        <w:t>非学历继续教育规模</w:t>
      </w:r>
      <w:r>
        <w:rPr>
          <w:rFonts w:hint="eastAsia" w:ascii="仿宋_GB2312" w:hAnsi="宋体" w:eastAsia="仿宋_GB2312"/>
          <w:sz w:val="32"/>
          <w:szCs w:val="32"/>
          <w:lang w:eastAsia="zh-CN"/>
        </w:rPr>
        <w:t>持续扩大，培训领域进一步拓展</w:t>
      </w:r>
      <w:r>
        <w:rPr>
          <w:rFonts w:hint="eastAsia" w:ascii="仿宋_GB2312" w:hAnsi="宋体" w:eastAsia="仿宋_GB2312"/>
          <w:sz w:val="32"/>
          <w:szCs w:val="32"/>
        </w:rPr>
        <w:t>，</w:t>
      </w:r>
      <w:r>
        <w:rPr>
          <w:rFonts w:hint="eastAsia" w:ascii="仿宋_GB2312" w:hAnsi="宋体" w:eastAsia="仿宋_GB2312"/>
          <w:sz w:val="32"/>
          <w:szCs w:val="32"/>
          <w:lang w:eastAsia="zh-CN"/>
        </w:rPr>
        <w:t>服务质量进一步提升，</w:t>
      </w:r>
      <w:r>
        <w:rPr>
          <w:rFonts w:hint="eastAsia" w:ascii="仿宋_GB2312" w:hAnsi="宋体" w:eastAsia="仿宋_GB2312"/>
          <w:sz w:val="32"/>
          <w:szCs w:val="32"/>
        </w:rPr>
        <w:t>特色</w:t>
      </w:r>
      <w:r>
        <w:rPr>
          <w:rFonts w:hint="eastAsia" w:ascii="仿宋_GB2312" w:hAnsi="宋体" w:eastAsia="仿宋_GB2312"/>
          <w:sz w:val="32"/>
          <w:szCs w:val="32"/>
          <w:lang w:eastAsia="zh-CN"/>
        </w:rPr>
        <w:t>项目和</w:t>
      </w:r>
      <w:r>
        <w:rPr>
          <w:rFonts w:hint="eastAsia" w:ascii="仿宋_GB2312" w:hAnsi="宋体" w:eastAsia="仿宋_GB2312"/>
          <w:sz w:val="32"/>
          <w:szCs w:val="32"/>
        </w:rPr>
        <w:t>品牌</w:t>
      </w:r>
      <w:r>
        <w:rPr>
          <w:rFonts w:hint="eastAsia" w:ascii="仿宋_GB2312" w:hAnsi="宋体" w:eastAsia="仿宋_GB2312"/>
          <w:sz w:val="32"/>
          <w:szCs w:val="32"/>
          <w:lang w:eastAsia="zh-CN"/>
        </w:rPr>
        <w:t>效应进一步凸显，</w:t>
      </w:r>
      <w:r>
        <w:rPr>
          <w:rFonts w:hint="eastAsia" w:ascii="仿宋_GB2312" w:hAnsi="宋体" w:eastAsia="仿宋_GB2312"/>
          <w:sz w:val="32"/>
          <w:szCs w:val="32"/>
        </w:rPr>
        <w:t>“十四五”期间，举办各类社会培训</w:t>
      </w:r>
      <w:r>
        <w:rPr>
          <w:rFonts w:hint="eastAsia" w:ascii="仿宋_GB2312" w:hAnsi="宋体" w:eastAsia="仿宋_GB2312"/>
          <w:bCs/>
          <w:sz w:val="32"/>
          <w:szCs w:val="32"/>
        </w:rPr>
        <w:t>（鉴定）2</w:t>
      </w:r>
      <w:r>
        <w:rPr>
          <w:rFonts w:hint="eastAsia" w:ascii="仿宋_GB2312" w:hAnsi="宋体" w:eastAsia="仿宋_GB2312"/>
          <w:bCs/>
          <w:sz w:val="32"/>
          <w:szCs w:val="32"/>
          <w:lang w:val="en-US" w:eastAsia="zh-CN"/>
        </w:rPr>
        <w:t>0万</w:t>
      </w:r>
      <w:r>
        <w:rPr>
          <w:rFonts w:hint="eastAsia" w:ascii="仿宋_GB2312" w:hAnsi="宋体" w:eastAsia="仿宋_GB2312"/>
          <w:sz w:val="32"/>
          <w:szCs w:val="32"/>
        </w:rPr>
        <w:t>人次以上，非学历教育实现毛收入3.17亿元。</w:t>
      </w:r>
    </w:p>
    <w:p>
      <w:pPr>
        <w:pageBreakBefore w:val="0"/>
        <w:kinsoku/>
        <w:wordWrap/>
        <w:overflowPunct/>
        <w:topLinePunct w:val="0"/>
        <w:autoSpaceDE/>
        <w:autoSpaceDN/>
        <w:bidi w:val="0"/>
        <w:adjustRightInd w:val="0"/>
        <w:snapToGrid w:val="0"/>
        <w:spacing w:line="560" w:lineRule="exact"/>
        <w:ind w:firstLine="548" w:firstLineChars="196"/>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表6：“十四五”期间</w:t>
      </w:r>
      <w:r>
        <w:rPr>
          <w:rFonts w:hint="eastAsia" w:ascii="仿宋_GB2312" w:hAnsi="宋体" w:eastAsia="仿宋_GB2312" w:cs="宋体"/>
          <w:kern w:val="0"/>
          <w:sz w:val="28"/>
          <w:szCs w:val="28"/>
          <w:lang w:eastAsia="zh-CN"/>
        </w:rPr>
        <w:t>总体</w:t>
      </w:r>
      <w:r>
        <w:rPr>
          <w:rFonts w:hint="eastAsia" w:ascii="仿宋_GB2312" w:hAnsi="宋体" w:eastAsia="仿宋_GB2312" w:cs="宋体"/>
          <w:kern w:val="0"/>
          <w:sz w:val="28"/>
          <w:szCs w:val="28"/>
        </w:rPr>
        <w:t>办学毛收入目标指标表（单位：万元）</w:t>
      </w:r>
    </w:p>
    <w:tbl>
      <w:tblPr>
        <w:tblStyle w:val="10"/>
        <w:tblW w:w="9389" w:type="dxa"/>
        <w:jc w:val="center"/>
        <w:tblLayout w:type="autofit"/>
        <w:tblCellMar>
          <w:top w:w="0" w:type="dxa"/>
          <w:left w:w="0" w:type="dxa"/>
          <w:bottom w:w="0" w:type="dxa"/>
          <w:right w:w="0" w:type="dxa"/>
        </w:tblCellMar>
      </w:tblPr>
      <w:tblGrid>
        <w:gridCol w:w="1636"/>
        <w:gridCol w:w="1292"/>
        <w:gridCol w:w="1292"/>
        <w:gridCol w:w="1292"/>
        <w:gridCol w:w="1292"/>
        <w:gridCol w:w="1292"/>
        <w:gridCol w:w="1293"/>
      </w:tblGrid>
      <w:tr>
        <w:tblPrEx>
          <w:tblCellMar>
            <w:top w:w="0" w:type="dxa"/>
            <w:left w:w="0" w:type="dxa"/>
            <w:bottom w:w="0" w:type="dxa"/>
            <w:right w:w="0" w:type="dxa"/>
          </w:tblCellMar>
        </w:tblPrEx>
        <w:trPr>
          <w:trHeight w:val="660" w:hRule="atLeast"/>
          <w:jc w:val="center"/>
        </w:trPr>
        <w:tc>
          <w:tcPr>
            <w:tcW w:w="9389"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ascii="黑体" w:hAnsi="宋体" w:eastAsia="黑体" w:cs="黑体"/>
                <w:i w:val="0"/>
                <w:color w:val="000000"/>
                <w:sz w:val="32"/>
                <w:szCs w:val="32"/>
                <w:u w:val="none"/>
              </w:rPr>
            </w:pPr>
            <w:r>
              <w:rPr>
                <w:rStyle w:val="20"/>
                <w:lang w:val="en-US" w:eastAsia="zh-CN" w:bidi="ar"/>
              </w:rPr>
              <w:t>继续教育学院“十四五”期间收入目标一览表（毛收入</w:t>
            </w:r>
            <w:r>
              <w:rPr>
                <w:rFonts w:ascii="微软雅黑" w:hAnsi="微软雅黑" w:eastAsia="微软雅黑" w:cs="微软雅黑"/>
                <w:i w:val="0"/>
                <w:color w:val="000000"/>
                <w:kern w:val="0"/>
                <w:sz w:val="32"/>
                <w:szCs w:val="32"/>
                <w:u w:val="none"/>
                <w:lang w:val="en-US" w:eastAsia="zh-CN" w:bidi="ar"/>
              </w:rPr>
              <w:t>·</w:t>
            </w:r>
            <w:r>
              <w:rPr>
                <w:rStyle w:val="20"/>
                <w:lang w:val="en-US" w:eastAsia="zh-CN" w:bidi="ar"/>
              </w:rPr>
              <w:t>万元）</w:t>
            </w:r>
          </w:p>
        </w:tc>
      </w:tr>
      <w:tr>
        <w:tblPrEx>
          <w:tblCellMar>
            <w:top w:w="0" w:type="dxa"/>
            <w:left w:w="0" w:type="dxa"/>
            <w:bottom w:w="0" w:type="dxa"/>
            <w:right w:w="0" w:type="dxa"/>
          </w:tblCellMar>
        </w:tblPrEx>
        <w:trPr>
          <w:trHeight w:val="580" w:hRule="atLeast"/>
          <w:jc w:val="center"/>
        </w:trPr>
        <w:tc>
          <w:tcPr>
            <w:tcW w:w="16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项目类型</w:t>
            </w:r>
          </w:p>
        </w:tc>
        <w:tc>
          <w:tcPr>
            <w:tcW w:w="12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2021年</w:t>
            </w:r>
          </w:p>
        </w:tc>
        <w:tc>
          <w:tcPr>
            <w:tcW w:w="12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2022年</w:t>
            </w:r>
          </w:p>
        </w:tc>
        <w:tc>
          <w:tcPr>
            <w:tcW w:w="12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2023年</w:t>
            </w:r>
          </w:p>
        </w:tc>
        <w:tc>
          <w:tcPr>
            <w:tcW w:w="12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2024年</w:t>
            </w:r>
          </w:p>
        </w:tc>
        <w:tc>
          <w:tcPr>
            <w:tcW w:w="12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2025年</w:t>
            </w:r>
          </w:p>
        </w:tc>
        <w:tc>
          <w:tcPr>
            <w:tcW w:w="12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合计</w:t>
            </w:r>
          </w:p>
        </w:tc>
      </w:tr>
      <w:tr>
        <w:tblPrEx>
          <w:tblCellMar>
            <w:top w:w="0" w:type="dxa"/>
            <w:left w:w="0" w:type="dxa"/>
            <w:bottom w:w="0" w:type="dxa"/>
            <w:right w:w="0" w:type="dxa"/>
          </w:tblCellMar>
        </w:tblPrEx>
        <w:trPr>
          <w:trHeight w:val="540" w:hRule="atLeast"/>
          <w:jc w:val="center"/>
        </w:trPr>
        <w:tc>
          <w:tcPr>
            <w:tcW w:w="1636" w:type="dxa"/>
            <w:tcBorders>
              <w:top w:val="single" w:color="000000" w:sz="4" w:space="0"/>
              <w:left w:val="single" w:color="000000" w:sz="4" w:space="0"/>
              <w:bottom w:val="single" w:color="000000" w:sz="4" w:space="0"/>
              <w:right w:val="nil"/>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学历教育</w:t>
            </w:r>
          </w:p>
        </w:tc>
        <w:tc>
          <w:tcPr>
            <w:tcW w:w="12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1380</w:t>
            </w:r>
          </w:p>
        </w:tc>
        <w:tc>
          <w:tcPr>
            <w:tcW w:w="12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w:t>
            </w:r>
            <w:r>
              <w:rPr>
                <w:rFonts w:hint="eastAsia" w:ascii="宋体" w:hAnsi="宋体" w:cs="宋体"/>
                <w:i w:val="0"/>
                <w:color w:val="000000"/>
                <w:kern w:val="0"/>
                <w:sz w:val="24"/>
                <w:szCs w:val="24"/>
                <w:u w:val="none"/>
                <w:lang w:val="en-US" w:eastAsia="zh-CN" w:bidi="ar"/>
              </w:rPr>
              <w:t>5</w:t>
            </w:r>
            <w:r>
              <w:rPr>
                <w:rFonts w:hint="eastAsia" w:ascii="宋体" w:hAnsi="宋体" w:eastAsia="宋体" w:cs="宋体"/>
                <w:i w:val="0"/>
                <w:color w:val="000000"/>
                <w:kern w:val="0"/>
                <w:sz w:val="24"/>
                <w:szCs w:val="24"/>
                <w:u w:val="none"/>
                <w:lang w:val="en-US" w:eastAsia="zh-CN" w:bidi="ar"/>
              </w:rPr>
              <w:t>0</w:t>
            </w:r>
          </w:p>
        </w:tc>
        <w:tc>
          <w:tcPr>
            <w:tcW w:w="12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2330</w:t>
            </w:r>
          </w:p>
        </w:tc>
        <w:tc>
          <w:tcPr>
            <w:tcW w:w="12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3340</w:t>
            </w:r>
          </w:p>
        </w:tc>
        <w:tc>
          <w:tcPr>
            <w:tcW w:w="12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w:t>
            </w:r>
          </w:p>
        </w:tc>
        <w:tc>
          <w:tcPr>
            <w:tcW w:w="12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r>
              <w:rPr>
                <w:rFonts w:hint="eastAsia" w:ascii="宋体" w:hAnsi="宋体" w:cs="宋体"/>
                <w:i w:val="0"/>
                <w:color w:val="000000"/>
                <w:kern w:val="0"/>
                <w:sz w:val="24"/>
                <w:szCs w:val="24"/>
                <w:u w:val="none"/>
                <w:lang w:val="en-US" w:eastAsia="zh-CN" w:bidi="ar"/>
              </w:rPr>
              <w:t>30</w:t>
            </w:r>
            <w:r>
              <w:rPr>
                <w:rFonts w:hint="eastAsia" w:ascii="宋体" w:hAnsi="宋体" w:eastAsia="宋体" w:cs="宋体"/>
                <w:i w:val="0"/>
                <w:color w:val="000000"/>
                <w:kern w:val="0"/>
                <w:sz w:val="24"/>
                <w:szCs w:val="24"/>
                <w:u w:val="none"/>
                <w:lang w:val="en-US" w:eastAsia="zh-CN" w:bidi="ar"/>
              </w:rPr>
              <w:t>0</w:t>
            </w:r>
          </w:p>
        </w:tc>
      </w:tr>
      <w:tr>
        <w:tblPrEx>
          <w:tblCellMar>
            <w:top w:w="0" w:type="dxa"/>
            <w:left w:w="0" w:type="dxa"/>
            <w:bottom w:w="0" w:type="dxa"/>
            <w:right w:w="0" w:type="dxa"/>
          </w:tblCellMar>
        </w:tblPrEx>
        <w:trPr>
          <w:trHeight w:val="460" w:hRule="atLeast"/>
          <w:jc w:val="center"/>
        </w:trPr>
        <w:tc>
          <w:tcPr>
            <w:tcW w:w="1636" w:type="dxa"/>
            <w:tcBorders>
              <w:top w:val="single" w:color="000000" w:sz="4" w:space="0"/>
              <w:left w:val="single" w:color="000000" w:sz="4" w:space="0"/>
              <w:bottom w:val="single" w:color="000000" w:sz="4" w:space="0"/>
              <w:right w:val="nil"/>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非学历培训</w:t>
            </w:r>
          </w:p>
        </w:tc>
        <w:tc>
          <w:tcPr>
            <w:tcW w:w="12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4620</w:t>
            </w:r>
          </w:p>
        </w:tc>
        <w:tc>
          <w:tcPr>
            <w:tcW w:w="12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54</w:t>
            </w:r>
            <w:r>
              <w:rPr>
                <w:rFonts w:hint="eastAsia" w:ascii="宋体" w:hAnsi="宋体" w:cs="宋体"/>
                <w:i w:val="0"/>
                <w:color w:val="000000"/>
                <w:kern w:val="0"/>
                <w:sz w:val="24"/>
                <w:szCs w:val="24"/>
                <w:u w:val="none"/>
                <w:lang w:val="en-US" w:eastAsia="zh-CN" w:bidi="ar"/>
              </w:rPr>
              <w:t>5</w:t>
            </w:r>
            <w:r>
              <w:rPr>
                <w:rFonts w:hint="eastAsia" w:ascii="宋体" w:hAnsi="宋体" w:eastAsia="宋体" w:cs="宋体"/>
                <w:i w:val="0"/>
                <w:color w:val="000000"/>
                <w:kern w:val="0"/>
                <w:sz w:val="24"/>
                <w:szCs w:val="24"/>
                <w:u w:val="none"/>
                <w:lang w:val="en-US" w:eastAsia="zh-CN" w:bidi="ar"/>
              </w:rPr>
              <w:t>0</w:t>
            </w:r>
          </w:p>
        </w:tc>
        <w:tc>
          <w:tcPr>
            <w:tcW w:w="12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6320</w:t>
            </w:r>
          </w:p>
        </w:tc>
        <w:tc>
          <w:tcPr>
            <w:tcW w:w="12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7080</w:t>
            </w:r>
          </w:p>
        </w:tc>
        <w:tc>
          <w:tcPr>
            <w:tcW w:w="12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8230</w:t>
            </w:r>
          </w:p>
        </w:tc>
        <w:tc>
          <w:tcPr>
            <w:tcW w:w="129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317</w:t>
            </w:r>
            <w:r>
              <w:rPr>
                <w:rFonts w:hint="eastAsia" w:ascii="宋体" w:hAnsi="宋体" w:cs="宋体"/>
                <w:i w:val="0"/>
                <w:color w:val="000000"/>
                <w:kern w:val="0"/>
                <w:sz w:val="24"/>
                <w:szCs w:val="24"/>
                <w:u w:val="none"/>
                <w:lang w:val="en-US" w:eastAsia="zh-CN" w:bidi="ar"/>
              </w:rPr>
              <w:t>0</w:t>
            </w:r>
            <w:r>
              <w:rPr>
                <w:rFonts w:hint="eastAsia" w:ascii="宋体" w:hAnsi="宋体" w:eastAsia="宋体" w:cs="宋体"/>
                <w:i w:val="0"/>
                <w:color w:val="000000"/>
                <w:kern w:val="0"/>
                <w:sz w:val="24"/>
                <w:szCs w:val="24"/>
                <w:u w:val="none"/>
                <w:lang w:val="en-US" w:eastAsia="zh-CN" w:bidi="ar"/>
              </w:rPr>
              <w:t>0</w:t>
            </w:r>
          </w:p>
        </w:tc>
      </w:tr>
      <w:tr>
        <w:tblPrEx>
          <w:tblCellMar>
            <w:top w:w="0" w:type="dxa"/>
            <w:left w:w="0" w:type="dxa"/>
            <w:bottom w:w="0" w:type="dxa"/>
            <w:right w:w="0" w:type="dxa"/>
          </w:tblCellMar>
        </w:tblPrEx>
        <w:trPr>
          <w:trHeight w:val="540" w:hRule="atLeast"/>
          <w:jc w:val="center"/>
        </w:trPr>
        <w:tc>
          <w:tcPr>
            <w:tcW w:w="163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总计</w:t>
            </w:r>
          </w:p>
        </w:tc>
        <w:tc>
          <w:tcPr>
            <w:tcW w:w="12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6000</w:t>
            </w:r>
          </w:p>
        </w:tc>
        <w:tc>
          <w:tcPr>
            <w:tcW w:w="12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7200</w:t>
            </w:r>
          </w:p>
        </w:tc>
        <w:tc>
          <w:tcPr>
            <w:tcW w:w="12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8650</w:t>
            </w:r>
          </w:p>
        </w:tc>
        <w:tc>
          <w:tcPr>
            <w:tcW w:w="12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10420</w:t>
            </w:r>
          </w:p>
        </w:tc>
        <w:tc>
          <w:tcPr>
            <w:tcW w:w="12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12730</w:t>
            </w:r>
          </w:p>
        </w:tc>
        <w:tc>
          <w:tcPr>
            <w:tcW w:w="129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spacing w:line="56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45000</w:t>
            </w:r>
          </w:p>
        </w:tc>
      </w:tr>
    </w:tbl>
    <w:p>
      <w:pPr>
        <w:pageBreakBefore w:val="0"/>
        <w:kinsoku/>
        <w:wordWrap/>
        <w:overflowPunct/>
        <w:topLinePunct w:val="0"/>
        <w:autoSpaceDE/>
        <w:autoSpaceDN/>
        <w:bidi w:val="0"/>
        <w:adjustRightInd w:val="0"/>
        <w:snapToGrid w:val="0"/>
        <w:spacing w:line="560" w:lineRule="exact"/>
        <w:ind w:firstLine="551" w:firstLineChars="196"/>
        <w:rPr>
          <w:rFonts w:hint="eastAsia" w:ascii="楷体" w:hAnsi="楷体" w:eastAsia="楷体" w:cs="黑体"/>
          <w:b/>
          <w:sz w:val="28"/>
          <w:szCs w:val="28"/>
        </w:rPr>
      </w:pPr>
      <w:r>
        <w:rPr>
          <w:rFonts w:hint="eastAsia" w:ascii="楷体" w:hAnsi="楷体" w:eastAsia="楷体" w:cs="黑体"/>
          <w:b/>
          <w:sz w:val="28"/>
          <w:szCs w:val="28"/>
        </w:rPr>
        <w:t>（三）主要目标与任务</w:t>
      </w:r>
    </w:p>
    <w:p>
      <w:pPr>
        <w:pageBreakBefore w:val="0"/>
        <w:kinsoku/>
        <w:wordWrap/>
        <w:overflowPunct/>
        <w:topLinePunct w:val="0"/>
        <w:autoSpaceDE/>
        <w:autoSpaceDN/>
        <w:bidi w:val="0"/>
        <w:adjustRightInd w:val="0"/>
        <w:snapToGrid w:val="0"/>
        <w:spacing w:line="560" w:lineRule="exact"/>
        <w:ind w:firstLine="548" w:firstLineChars="196"/>
        <w:jc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rPr>
        <w:t>表</w:t>
      </w:r>
      <w:r>
        <w:rPr>
          <w:rFonts w:hint="eastAsia" w:ascii="仿宋_GB2312" w:hAnsi="宋体" w:eastAsia="仿宋_GB2312" w:cs="宋体"/>
          <w:kern w:val="0"/>
          <w:sz w:val="28"/>
          <w:szCs w:val="28"/>
          <w:lang w:val="en-US" w:eastAsia="zh-CN"/>
        </w:rPr>
        <w:t>7</w:t>
      </w:r>
      <w:r>
        <w:rPr>
          <w:rFonts w:hint="eastAsia" w:ascii="仿宋_GB2312" w:hAnsi="宋体" w:eastAsia="仿宋_GB2312" w:cs="宋体"/>
          <w:kern w:val="0"/>
          <w:sz w:val="28"/>
          <w:szCs w:val="28"/>
        </w:rPr>
        <w:t>：“十四五”期间</w:t>
      </w:r>
      <w:r>
        <w:rPr>
          <w:rFonts w:hint="eastAsia" w:ascii="仿宋_GB2312" w:hAnsi="宋体" w:eastAsia="仿宋_GB2312" w:cs="宋体"/>
          <w:kern w:val="0"/>
          <w:sz w:val="28"/>
          <w:szCs w:val="28"/>
          <w:lang w:eastAsia="zh-CN"/>
        </w:rPr>
        <w:t>分项</w:t>
      </w:r>
      <w:r>
        <w:rPr>
          <w:rFonts w:hint="eastAsia" w:ascii="仿宋_GB2312" w:hAnsi="宋体" w:eastAsia="仿宋_GB2312" w:cs="宋体"/>
          <w:kern w:val="0"/>
          <w:sz w:val="28"/>
          <w:szCs w:val="28"/>
        </w:rPr>
        <w:t>办学毛收入目标指标表（单位：万元）</w:t>
      </w:r>
    </w:p>
    <w:tbl>
      <w:tblPr>
        <w:tblStyle w:val="10"/>
        <w:tblW w:w="9357" w:type="dxa"/>
        <w:jc w:val="center"/>
        <w:tblLayout w:type="autofit"/>
        <w:tblCellMar>
          <w:top w:w="0" w:type="dxa"/>
          <w:left w:w="108" w:type="dxa"/>
          <w:bottom w:w="0" w:type="dxa"/>
          <w:right w:w="108" w:type="dxa"/>
        </w:tblCellMar>
      </w:tblPr>
      <w:tblGrid>
        <w:gridCol w:w="645"/>
        <w:gridCol w:w="2303"/>
        <w:gridCol w:w="1080"/>
        <w:gridCol w:w="1080"/>
        <w:gridCol w:w="1080"/>
        <w:gridCol w:w="1080"/>
        <w:gridCol w:w="1080"/>
        <w:gridCol w:w="1009"/>
      </w:tblGrid>
      <w:tr>
        <w:tblPrEx>
          <w:tblCellMar>
            <w:top w:w="0" w:type="dxa"/>
            <w:left w:w="108" w:type="dxa"/>
            <w:bottom w:w="0" w:type="dxa"/>
            <w:right w:w="108" w:type="dxa"/>
          </w:tblCellMar>
        </w:tblPrEx>
        <w:trPr>
          <w:trHeight w:val="375" w:hRule="atLeast"/>
          <w:jc w:val="center"/>
        </w:trPr>
        <w:tc>
          <w:tcPr>
            <w:tcW w:w="2948" w:type="dxa"/>
            <w:gridSpan w:val="2"/>
            <w:tcBorders>
              <w:top w:val="single" w:color="auto" w:sz="4" w:space="0"/>
              <w:left w:val="single" w:color="auto" w:sz="4" w:space="0"/>
              <w:bottom w:val="single" w:color="auto" w:sz="4" w:space="0"/>
              <w:right w:val="single" w:color="000000"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项目类型</w:t>
            </w:r>
          </w:p>
        </w:tc>
        <w:tc>
          <w:tcPr>
            <w:tcW w:w="1080" w:type="dxa"/>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2021年</w:t>
            </w:r>
          </w:p>
        </w:tc>
        <w:tc>
          <w:tcPr>
            <w:tcW w:w="1080" w:type="dxa"/>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2022年</w:t>
            </w:r>
          </w:p>
        </w:tc>
        <w:tc>
          <w:tcPr>
            <w:tcW w:w="1080" w:type="dxa"/>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2023年</w:t>
            </w:r>
          </w:p>
        </w:tc>
        <w:tc>
          <w:tcPr>
            <w:tcW w:w="1080" w:type="dxa"/>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2024年</w:t>
            </w:r>
          </w:p>
        </w:tc>
        <w:tc>
          <w:tcPr>
            <w:tcW w:w="1080" w:type="dxa"/>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2025年</w:t>
            </w:r>
          </w:p>
        </w:tc>
        <w:tc>
          <w:tcPr>
            <w:tcW w:w="1009" w:type="dxa"/>
            <w:tcBorders>
              <w:top w:val="single" w:color="auto" w:sz="4" w:space="0"/>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合计</w:t>
            </w:r>
          </w:p>
        </w:tc>
      </w:tr>
      <w:tr>
        <w:tblPrEx>
          <w:tblCellMar>
            <w:top w:w="0" w:type="dxa"/>
            <w:left w:w="108" w:type="dxa"/>
            <w:bottom w:w="0" w:type="dxa"/>
            <w:right w:w="108" w:type="dxa"/>
          </w:tblCellMar>
        </w:tblPrEx>
        <w:trPr>
          <w:trHeight w:val="579" w:hRule="atLeast"/>
          <w:jc w:val="center"/>
        </w:trPr>
        <w:tc>
          <w:tcPr>
            <w:tcW w:w="645" w:type="dxa"/>
            <w:vMerge w:val="restart"/>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b/>
                <w:kern w:val="0"/>
                <w:sz w:val="24"/>
              </w:rPr>
            </w:pPr>
            <w:r>
              <w:rPr>
                <w:rFonts w:hint="eastAsia" w:ascii="仿宋_GB2312" w:hAnsi="宋体" w:eastAsia="仿宋_GB2312" w:cs="宋体"/>
                <w:b/>
                <w:kern w:val="0"/>
                <w:sz w:val="24"/>
              </w:rPr>
              <w:t>学历教育</w:t>
            </w:r>
          </w:p>
        </w:tc>
        <w:tc>
          <w:tcPr>
            <w:tcW w:w="2303"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本专科教育</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1300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1600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2100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3000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4000</w:t>
            </w:r>
          </w:p>
        </w:tc>
        <w:tc>
          <w:tcPr>
            <w:tcW w:w="1009"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12000</w:t>
            </w:r>
          </w:p>
        </w:tc>
      </w:tr>
      <w:tr>
        <w:tblPrEx>
          <w:tblCellMar>
            <w:top w:w="0" w:type="dxa"/>
            <w:left w:w="108" w:type="dxa"/>
            <w:bottom w:w="0" w:type="dxa"/>
            <w:right w:w="108" w:type="dxa"/>
          </w:tblCellMar>
        </w:tblPrEx>
        <w:trPr>
          <w:trHeight w:val="602" w:hRule="atLeast"/>
          <w:jc w:val="center"/>
        </w:trPr>
        <w:tc>
          <w:tcPr>
            <w:tcW w:w="645" w:type="dxa"/>
            <w:vMerge w:val="continue"/>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left"/>
              <w:rPr>
                <w:rFonts w:hint="eastAsia" w:ascii="仿宋_GB2312" w:hAnsi="宋体" w:eastAsia="仿宋_GB2312" w:cs="宋体"/>
                <w:b/>
                <w:kern w:val="0"/>
                <w:sz w:val="24"/>
              </w:rPr>
            </w:pPr>
          </w:p>
        </w:tc>
        <w:tc>
          <w:tcPr>
            <w:tcW w:w="2303"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研究生教育</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lang w:val="en-US" w:eastAsia="zh-CN"/>
              </w:rPr>
              <w:t>4</w:t>
            </w:r>
            <w:r>
              <w:rPr>
                <w:rFonts w:hint="eastAsia" w:ascii="仿宋_GB2312" w:hAnsi="宋体" w:eastAsia="仿宋_GB2312" w:cs="宋体"/>
                <w:kern w:val="0"/>
                <w:sz w:val="24"/>
              </w:rPr>
              <w:t>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80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140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200</w:t>
            </w:r>
          </w:p>
        </w:tc>
        <w:tc>
          <w:tcPr>
            <w:tcW w:w="1009"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450</w:t>
            </w:r>
          </w:p>
        </w:tc>
      </w:tr>
      <w:tr>
        <w:tblPrEx>
          <w:tblCellMar>
            <w:top w:w="0" w:type="dxa"/>
            <w:left w:w="108" w:type="dxa"/>
            <w:bottom w:w="0" w:type="dxa"/>
            <w:right w:w="108" w:type="dxa"/>
          </w:tblCellMar>
        </w:tblPrEx>
        <w:trPr>
          <w:trHeight w:val="622" w:hRule="atLeast"/>
          <w:jc w:val="center"/>
        </w:trPr>
        <w:tc>
          <w:tcPr>
            <w:tcW w:w="645" w:type="dxa"/>
            <w:vMerge w:val="continue"/>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left"/>
              <w:rPr>
                <w:rFonts w:hint="eastAsia" w:ascii="仿宋_GB2312" w:hAnsi="宋体" w:eastAsia="仿宋_GB2312" w:cs="宋体"/>
                <w:b/>
                <w:kern w:val="0"/>
                <w:sz w:val="24"/>
              </w:rPr>
            </w:pPr>
          </w:p>
        </w:tc>
        <w:tc>
          <w:tcPr>
            <w:tcW w:w="2303"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留学生教育</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80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110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150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200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300</w:t>
            </w:r>
          </w:p>
        </w:tc>
        <w:tc>
          <w:tcPr>
            <w:tcW w:w="1009"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840</w:t>
            </w:r>
          </w:p>
        </w:tc>
      </w:tr>
      <w:tr>
        <w:tblPrEx>
          <w:tblCellMar>
            <w:top w:w="0" w:type="dxa"/>
            <w:left w:w="108" w:type="dxa"/>
            <w:bottom w:w="0" w:type="dxa"/>
            <w:right w:w="108" w:type="dxa"/>
          </w:tblCellMar>
        </w:tblPrEx>
        <w:trPr>
          <w:trHeight w:val="375" w:hRule="atLeast"/>
          <w:jc w:val="center"/>
        </w:trPr>
        <w:tc>
          <w:tcPr>
            <w:tcW w:w="645" w:type="dxa"/>
            <w:vMerge w:val="restart"/>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b/>
                <w:kern w:val="0"/>
                <w:sz w:val="24"/>
              </w:rPr>
            </w:pPr>
            <w:r>
              <w:rPr>
                <w:rFonts w:hint="eastAsia" w:ascii="仿宋_GB2312" w:hAnsi="宋体" w:eastAsia="仿宋_GB2312" w:cs="宋体"/>
                <w:b/>
                <w:kern w:val="0"/>
                <w:sz w:val="24"/>
              </w:rPr>
              <w:t>非学历教育</w:t>
            </w:r>
          </w:p>
        </w:tc>
        <w:tc>
          <w:tcPr>
            <w:tcW w:w="2303"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高技能培训班</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1200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1500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1700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1800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1900</w:t>
            </w:r>
          </w:p>
        </w:tc>
        <w:tc>
          <w:tcPr>
            <w:tcW w:w="1009"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8100</w:t>
            </w:r>
          </w:p>
        </w:tc>
      </w:tr>
      <w:tr>
        <w:tblPrEx>
          <w:tblCellMar>
            <w:top w:w="0" w:type="dxa"/>
            <w:left w:w="108" w:type="dxa"/>
            <w:bottom w:w="0" w:type="dxa"/>
            <w:right w:w="108" w:type="dxa"/>
          </w:tblCellMar>
        </w:tblPrEx>
        <w:trPr>
          <w:trHeight w:val="375" w:hRule="atLeast"/>
          <w:jc w:val="center"/>
        </w:trPr>
        <w:tc>
          <w:tcPr>
            <w:tcW w:w="645" w:type="dxa"/>
            <w:vMerge w:val="continue"/>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left"/>
              <w:rPr>
                <w:rFonts w:hint="eastAsia" w:ascii="仿宋_GB2312" w:hAnsi="宋体" w:eastAsia="仿宋_GB2312" w:cs="宋体"/>
                <w:kern w:val="0"/>
                <w:sz w:val="24"/>
              </w:rPr>
            </w:pPr>
          </w:p>
        </w:tc>
        <w:tc>
          <w:tcPr>
            <w:tcW w:w="2303"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教师专业化培训</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1200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1300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1400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1450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1600</w:t>
            </w:r>
          </w:p>
        </w:tc>
        <w:tc>
          <w:tcPr>
            <w:tcW w:w="1009"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6950</w:t>
            </w:r>
          </w:p>
        </w:tc>
      </w:tr>
      <w:tr>
        <w:tblPrEx>
          <w:tblCellMar>
            <w:top w:w="0" w:type="dxa"/>
            <w:left w:w="108" w:type="dxa"/>
            <w:bottom w:w="0" w:type="dxa"/>
            <w:right w:w="108" w:type="dxa"/>
          </w:tblCellMar>
        </w:tblPrEx>
        <w:trPr>
          <w:trHeight w:val="375" w:hRule="atLeast"/>
          <w:jc w:val="center"/>
        </w:trPr>
        <w:tc>
          <w:tcPr>
            <w:tcW w:w="645" w:type="dxa"/>
            <w:vMerge w:val="continue"/>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left"/>
              <w:rPr>
                <w:rFonts w:hint="eastAsia" w:ascii="仿宋_GB2312" w:hAnsi="宋体" w:eastAsia="仿宋_GB2312" w:cs="宋体"/>
                <w:kern w:val="0"/>
                <w:sz w:val="24"/>
              </w:rPr>
            </w:pPr>
          </w:p>
        </w:tc>
        <w:tc>
          <w:tcPr>
            <w:tcW w:w="2303"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党政机关干部培训</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400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500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600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720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900</w:t>
            </w:r>
          </w:p>
        </w:tc>
        <w:tc>
          <w:tcPr>
            <w:tcW w:w="1009"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3120</w:t>
            </w:r>
          </w:p>
        </w:tc>
      </w:tr>
      <w:tr>
        <w:tblPrEx>
          <w:tblCellMar>
            <w:top w:w="0" w:type="dxa"/>
            <w:left w:w="108" w:type="dxa"/>
            <w:bottom w:w="0" w:type="dxa"/>
            <w:right w:w="108" w:type="dxa"/>
          </w:tblCellMar>
        </w:tblPrEx>
        <w:trPr>
          <w:trHeight w:val="375" w:hRule="atLeast"/>
          <w:jc w:val="center"/>
        </w:trPr>
        <w:tc>
          <w:tcPr>
            <w:tcW w:w="645" w:type="dxa"/>
            <w:vMerge w:val="continue"/>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left"/>
              <w:rPr>
                <w:rFonts w:hint="eastAsia" w:ascii="仿宋_GB2312" w:hAnsi="宋体" w:eastAsia="仿宋_GB2312" w:cs="宋体"/>
                <w:kern w:val="0"/>
                <w:sz w:val="24"/>
              </w:rPr>
            </w:pPr>
          </w:p>
        </w:tc>
        <w:tc>
          <w:tcPr>
            <w:tcW w:w="2303"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企业单位培训</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300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3</w:t>
            </w:r>
            <w:r>
              <w:rPr>
                <w:rFonts w:hint="eastAsia" w:ascii="仿宋_GB2312" w:hAnsi="宋体" w:eastAsia="仿宋_GB2312" w:cs="宋体"/>
                <w:kern w:val="0"/>
                <w:sz w:val="24"/>
                <w:lang w:val="en-US" w:eastAsia="zh-CN"/>
              </w:rPr>
              <w:t>4</w:t>
            </w:r>
            <w:r>
              <w:rPr>
                <w:rFonts w:hint="eastAsia" w:ascii="仿宋_GB2312" w:hAnsi="宋体" w:eastAsia="仿宋_GB2312" w:cs="宋体"/>
                <w:kern w:val="0"/>
                <w:sz w:val="24"/>
              </w:rPr>
              <w:t>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400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450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550</w:t>
            </w:r>
          </w:p>
        </w:tc>
        <w:tc>
          <w:tcPr>
            <w:tcW w:w="1009"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2050</w:t>
            </w:r>
          </w:p>
        </w:tc>
      </w:tr>
      <w:tr>
        <w:tblPrEx>
          <w:tblCellMar>
            <w:top w:w="0" w:type="dxa"/>
            <w:left w:w="108" w:type="dxa"/>
            <w:bottom w:w="0" w:type="dxa"/>
            <w:right w:w="108" w:type="dxa"/>
          </w:tblCellMar>
        </w:tblPrEx>
        <w:trPr>
          <w:trHeight w:val="375" w:hRule="atLeast"/>
          <w:jc w:val="center"/>
        </w:trPr>
        <w:tc>
          <w:tcPr>
            <w:tcW w:w="645" w:type="dxa"/>
            <w:vMerge w:val="continue"/>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left"/>
              <w:rPr>
                <w:rFonts w:hint="eastAsia" w:ascii="仿宋_GB2312" w:hAnsi="宋体" w:eastAsia="仿宋_GB2312" w:cs="宋体"/>
                <w:kern w:val="0"/>
                <w:sz w:val="24"/>
              </w:rPr>
            </w:pPr>
          </w:p>
        </w:tc>
        <w:tc>
          <w:tcPr>
            <w:tcW w:w="2303"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ind w:right="-92" w:rightChars="-44"/>
              <w:jc w:val="center"/>
              <w:rPr>
                <w:rFonts w:hint="eastAsia" w:ascii="仿宋_GB2312" w:hAnsi="宋体" w:eastAsia="仿宋_GB2312" w:cs="宋体"/>
                <w:kern w:val="0"/>
                <w:sz w:val="24"/>
              </w:rPr>
            </w:pPr>
            <w:r>
              <w:rPr>
                <w:rFonts w:hint="eastAsia" w:ascii="仿宋_GB2312" w:hAnsi="宋体" w:eastAsia="仿宋_GB2312" w:cs="宋体"/>
                <w:kern w:val="0"/>
                <w:sz w:val="24"/>
              </w:rPr>
              <w:t>职业技能认定与培训</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380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410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450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550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700</w:t>
            </w:r>
          </w:p>
        </w:tc>
        <w:tc>
          <w:tcPr>
            <w:tcW w:w="1009"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2490</w:t>
            </w:r>
          </w:p>
        </w:tc>
      </w:tr>
      <w:tr>
        <w:tblPrEx>
          <w:tblCellMar>
            <w:top w:w="0" w:type="dxa"/>
            <w:left w:w="108" w:type="dxa"/>
            <w:bottom w:w="0" w:type="dxa"/>
            <w:right w:w="108" w:type="dxa"/>
          </w:tblCellMar>
        </w:tblPrEx>
        <w:trPr>
          <w:trHeight w:val="375" w:hRule="atLeast"/>
          <w:jc w:val="center"/>
        </w:trPr>
        <w:tc>
          <w:tcPr>
            <w:tcW w:w="645" w:type="dxa"/>
            <w:vMerge w:val="continue"/>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left"/>
              <w:rPr>
                <w:rFonts w:hint="eastAsia" w:ascii="仿宋_GB2312" w:hAnsi="宋体" w:eastAsia="仿宋_GB2312" w:cs="宋体"/>
                <w:kern w:val="0"/>
                <w:sz w:val="24"/>
              </w:rPr>
            </w:pPr>
          </w:p>
        </w:tc>
        <w:tc>
          <w:tcPr>
            <w:tcW w:w="2303"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社会化考试</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400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450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500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550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650</w:t>
            </w:r>
          </w:p>
        </w:tc>
        <w:tc>
          <w:tcPr>
            <w:tcW w:w="1009"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2550</w:t>
            </w:r>
          </w:p>
        </w:tc>
      </w:tr>
      <w:tr>
        <w:tblPrEx>
          <w:tblCellMar>
            <w:top w:w="0" w:type="dxa"/>
            <w:left w:w="108" w:type="dxa"/>
            <w:bottom w:w="0" w:type="dxa"/>
            <w:right w:w="108" w:type="dxa"/>
          </w:tblCellMar>
        </w:tblPrEx>
        <w:trPr>
          <w:trHeight w:val="375" w:hRule="atLeast"/>
          <w:jc w:val="center"/>
        </w:trPr>
        <w:tc>
          <w:tcPr>
            <w:tcW w:w="645" w:type="dxa"/>
            <w:vMerge w:val="continue"/>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left"/>
              <w:rPr>
                <w:rFonts w:hint="eastAsia" w:ascii="仿宋_GB2312" w:hAnsi="宋体" w:eastAsia="仿宋_GB2312" w:cs="宋体"/>
                <w:kern w:val="0"/>
                <w:sz w:val="24"/>
              </w:rPr>
            </w:pPr>
          </w:p>
        </w:tc>
        <w:tc>
          <w:tcPr>
            <w:tcW w:w="2303"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素质教育培训</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400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550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800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1000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1250</w:t>
            </w:r>
          </w:p>
        </w:tc>
        <w:tc>
          <w:tcPr>
            <w:tcW w:w="1009"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4000</w:t>
            </w:r>
          </w:p>
        </w:tc>
      </w:tr>
      <w:tr>
        <w:tblPrEx>
          <w:tblCellMar>
            <w:top w:w="0" w:type="dxa"/>
            <w:left w:w="108" w:type="dxa"/>
            <w:bottom w:w="0" w:type="dxa"/>
            <w:right w:w="108" w:type="dxa"/>
          </w:tblCellMar>
        </w:tblPrEx>
        <w:trPr>
          <w:trHeight w:val="375" w:hRule="atLeast"/>
          <w:jc w:val="center"/>
        </w:trPr>
        <w:tc>
          <w:tcPr>
            <w:tcW w:w="645" w:type="dxa"/>
            <w:vMerge w:val="continue"/>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left"/>
              <w:rPr>
                <w:rFonts w:hint="eastAsia" w:ascii="仿宋_GB2312" w:hAnsi="宋体" w:eastAsia="仿宋_GB2312" w:cs="宋体"/>
                <w:kern w:val="0"/>
                <w:sz w:val="24"/>
              </w:rPr>
            </w:pPr>
          </w:p>
        </w:tc>
        <w:tc>
          <w:tcPr>
            <w:tcW w:w="2303"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创新创业培训</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150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200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250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300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350</w:t>
            </w:r>
          </w:p>
        </w:tc>
        <w:tc>
          <w:tcPr>
            <w:tcW w:w="1009"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1250</w:t>
            </w:r>
          </w:p>
        </w:tc>
      </w:tr>
      <w:tr>
        <w:tblPrEx>
          <w:tblCellMar>
            <w:top w:w="0" w:type="dxa"/>
            <w:left w:w="108" w:type="dxa"/>
            <w:bottom w:w="0" w:type="dxa"/>
            <w:right w:w="108" w:type="dxa"/>
          </w:tblCellMar>
        </w:tblPrEx>
        <w:trPr>
          <w:trHeight w:val="375" w:hRule="atLeast"/>
          <w:jc w:val="center"/>
        </w:trPr>
        <w:tc>
          <w:tcPr>
            <w:tcW w:w="645" w:type="dxa"/>
            <w:vMerge w:val="continue"/>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left"/>
              <w:rPr>
                <w:rFonts w:hint="eastAsia" w:ascii="仿宋_GB2312" w:hAnsi="宋体" w:eastAsia="仿宋_GB2312" w:cs="宋体"/>
                <w:kern w:val="0"/>
                <w:sz w:val="24"/>
              </w:rPr>
            </w:pPr>
          </w:p>
        </w:tc>
        <w:tc>
          <w:tcPr>
            <w:tcW w:w="2303"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特殊群体培训</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90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100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120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150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180</w:t>
            </w:r>
          </w:p>
        </w:tc>
        <w:tc>
          <w:tcPr>
            <w:tcW w:w="1009"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640</w:t>
            </w:r>
          </w:p>
        </w:tc>
      </w:tr>
      <w:tr>
        <w:tblPrEx>
          <w:tblCellMar>
            <w:top w:w="0" w:type="dxa"/>
            <w:left w:w="108" w:type="dxa"/>
            <w:bottom w:w="0" w:type="dxa"/>
            <w:right w:w="108" w:type="dxa"/>
          </w:tblCellMar>
        </w:tblPrEx>
        <w:trPr>
          <w:trHeight w:val="375" w:hRule="atLeast"/>
          <w:jc w:val="center"/>
        </w:trPr>
        <w:tc>
          <w:tcPr>
            <w:tcW w:w="645" w:type="dxa"/>
            <w:vMerge w:val="continue"/>
            <w:tcBorders>
              <w:top w:val="nil"/>
              <w:left w:val="single" w:color="auto" w:sz="4" w:space="0"/>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left"/>
              <w:rPr>
                <w:rFonts w:hint="eastAsia" w:ascii="仿宋_GB2312" w:hAnsi="宋体" w:eastAsia="仿宋_GB2312" w:cs="宋体"/>
                <w:kern w:val="0"/>
                <w:sz w:val="24"/>
              </w:rPr>
            </w:pPr>
          </w:p>
        </w:tc>
        <w:tc>
          <w:tcPr>
            <w:tcW w:w="2303"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其他培训</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100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100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100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110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150</w:t>
            </w:r>
          </w:p>
        </w:tc>
        <w:tc>
          <w:tcPr>
            <w:tcW w:w="1009"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560</w:t>
            </w:r>
          </w:p>
        </w:tc>
      </w:tr>
      <w:tr>
        <w:tblPrEx>
          <w:tblCellMar>
            <w:top w:w="0" w:type="dxa"/>
            <w:left w:w="108" w:type="dxa"/>
            <w:bottom w:w="0" w:type="dxa"/>
            <w:right w:w="108" w:type="dxa"/>
          </w:tblCellMar>
        </w:tblPrEx>
        <w:trPr>
          <w:trHeight w:val="375" w:hRule="atLeast"/>
          <w:jc w:val="center"/>
        </w:trPr>
        <w:tc>
          <w:tcPr>
            <w:tcW w:w="2948" w:type="dxa"/>
            <w:gridSpan w:val="2"/>
            <w:tcBorders>
              <w:top w:val="single" w:color="auto" w:sz="4" w:space="0"/>
              <w:left w:val="single" w:color="auto" w:sz="4" w:space="0"/>
              <w:bottom w:val="single" w:color="auto" w:sz="4" w:space="0"/>
              <w:right w:val="single" w:color="000000"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总计</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b/>
                <w:bCs/>
                <w:kern w:val="0"/>
                <w:sz w:val="24"/>
              </w:rPr>
            </w:pPr>
            <w:r>
              <w:rPr>
                <w:rFonts w:hint="eastAsia" w:ascii="黑体" w:hAnsi="黑体" w:eastAsia="黑体" w:cs="黑体"/>
                <w:b/>
                <w:bCs/>
                <w:kern w:val="0"/>
                <w:sz w:val="24"/>
              </w:rPr>
              <w:t>6000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7200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8650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10420</w:t>
            </w:r>
          </w:p>
        </w:tc>
        <w:tc>
          <w:tcPr>
            <w:tcW w:w="1080"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12730</w:t>
            </w:r>
          </w:p>
        </w:tc>
        <w:tc>
          <w:tcPr>
            <w:tcW w:w="1009" w:type="dxa"/>
            <w:tcBorders>
              <w:top w:val="nil"/>
              <w:left w:val="nil"/>
              <w:bottom w:val="single" w:color="auto" w:sz="4" w:space="0"/>
              <w:right w:val="single" w:color="auto" w:sz="4" w:space="0"/>
            </w:tcBorders>
            <w:noWrap w:val="0"/>
            <w:vAlign w:val="center"/>
          </w:tcPr>
          <w:p>
            <w:pPr>
              <w:pageBreakBefore w:val="0"/>
              <w:widowControl/>
              <w:kinsoku/>
              <w:wordWrap/>
              <w:overflowPunct/>
              <w:topLinePunct w:val="0"/>
              <w:autoSpaceDE/>
              <w:autoSpaceDN/>
              <w:bidi w:val="0"/>
              <w:spacing w:line="560" w:lineRule="exact"/>
              <w:jc w:val="center"/>
              <w:rPr>
                <w:rFonts w:hint="eastAsia" w:ascii="仿宋_GB2312" w:hAnsi="宋体" w:eastAsia="仿宋_GB2312" w:cs="宋体"/>
                <w:b/>
                <w:bCs/>
                <w:kern w:val="0"/>
                <w:sz w:val="24"/>
              </w:rPr>
            </w:pPr>
            <w:r>
              <w:rPr>
                <w:rFonts w:hint="eastAsia" w:ascii="黑体" w:hAnsi="黑体" w:eastAsia="黑体" w:cs="黑体"/>
                <w:b/>
                <w:bCs/>
                <w:kern w:val="0"/>
                <w:sz w:val="24"/>
              </w:rPr>
              <w:t>45000</w:t>
            </w:r>
          </w:p>
        </w:tc>
      </w:tr>
    </w:tbl>
    <w:p>
      <w:pPr>
        <w:pageBreakBefore w:val="0"/>
        <w:kinsoku/>
        <w:wordWrap/>
        <w:overflowPunct/>
        <w:topLinePunct w:val="0"/>
        <w:autoSpaceDE/>
        <w:autoSpaceDN/>
        <w:bidi w:val="0"/>
        <w:adjustRightInd w:val="0"/>
        <w:snapToGrid w:val="0"/>
        <w:spacing w:line="560" w:lineRule="exact"/>
        <w:ind w:firstLine="643" w:firstLineChars="200"/>
        <w:rPr>
          <w:rFonts w:hint="eastAsia" w:ascii="仿宋_GB2312" w:hAnsi="宋体" w:eastAsia="仿宋_GB2312"/>
          <w:b/>
          <w:sz w:val="32"/>
          <w:szCs w:val="32"/>
          <w:lang w:eastAsia="zh-CN"/>
        </w:rPr>
      </w:pPr>
      <w:r>
        <w:rPr>
          <w:rFonts w:hint="eastAsia" w:ascii="仿宋_GB2312" w:hAnsi="宋体" w:eastAsia="仿宋_GB2312"/>
          <w:b/>
          <w:sz w:val="32"/>
          <w:szCs w:val="32"/>
        </w:rPr>
        <w:t>1.保持定力</w:t>
      </w:r>
      <w:r>
        <w:rPr>
          <w:rFonts w:hint="eastAsia" w:ascii="仿宋_GB2312" w:hAnsi="宋体" w:eastAsia="仿宋_GB2312"/>
          <w:b/>
          <w:sz w:val="32"/>
          <w:szCs w:val="32"/>
          <w:lang w:eastAsia="zh-CN"/>
        </w:rPr>
        <w:t>，</w:t>
      </w:r>
      <w:r>
        <w:rPr>
          <w:rFonts w:hint="eastAsia" w:ascii="仿宋_GB2312" w:hAnsi="宋体" w:eastAsia="仿宋_GB2312"/>
          <w:b/>
          <w:sz w:val="32"/>
          <w:szCs w:val="32"/>
        </w:rPr>
        <w:t>稳住发展基本盘</w:t>
      </w:r>
      <w:r>
        <w:rPr>
          <w:rFonts w:hint="eastAsia" w:ascii="仿宋_GB2312" w:hAnsi="宋体" w:eastAsia="仿宋_GB2312"/>
          <w:b/>
          <w:sz w:val="32"/>
          <w:szCs w:val="32"/>
          <w:lang w:eastAsia="zh-CN"/>
        </w:rPr>
        <w:t>，有效</w:t>
      </w:r>
      <w:r>
        <w:rPr>
          <w:rFonts w:hint="eastAsia" w:ascii="仿宋_GB2312" w:hAnsi="宋体" w:eastAsia="仿宋_GB2312"/>
          <w:b/>
          <w:sz w:val="32"/>
          <w:szCs w:val="32"/>
        </w:rPr>
        <w:t>提升生存力</w:t>
      </w:r>
      <w:r>
        <w:rPr>
          <w:rFonts w:hint="eastAsia" w:ascii="仿宋_GB2312" w:hAnsi="宋体" w:eastAsia="仿宋_GB2312"/>
          <w:b/>
          <w:sz w:val="32"/>
          <w:szCs w:val="32"/>
          <w:lang w:eastAsia="zh-CN"/>
        </w:rPr>
        <w:t>。</w:t>
      </w:r>
    </w:p>
    <w:p>
      <w:pPr>
        <w:pageBreakBefore w:val="0"/>
        <w:kinsoku/>
        <w:wordWrap/>
        <w:overflowPunct/>
        <w:topLinePunct w:val="0"/>
        <w:autoSpaceDE/>
        <w:autoSpaceDN/>
        <w:bidi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“十四五”期间，稳步发展各级学历继续教育，依托“师范”和“</w:t>
      </w:r>
      <w:r>
        <w:rPr>
          <w:rFonts w:hint="eastAsia" w:ascii="仿宋_GB2312" w:hAnsi="宋体" w:eastAsia="仿宋_GB2312"/>
          <w:sz w:val="32"/>
          <w:szCs w:val="32"/>
          <w:lang w:eastAsia="zh-CN"/>
        </w:rPr>
        <w:t>应用</w:t>
      </w:r>
      <w:r>
        <w:rPr>
          <w:rFonts w:hint="eastAsia" w:ascii="仿宋_GB2312" w:hAnsi="宋体" w:eastAsia="仿宋_GB2312"/>
          <w:sz w:val="32"/>
          <w:szCs w:val="32"/>
        </w:rPr>
        <w:t>”</w:t>
      </w:r>
      <w:r>
        <w:rPr>
          <w:rFonts w:hint="eastAsia" w:ascii="仿宋_GB2312" w:hAnsi="宋体" w:eastAsia="仿宋_GB2312"/>
          <w:sz w:val="32"/>
          <w:szCs w:val="32"/>
          <w:lang w:eastAsia="zh-CN"/>
        </w:rPr>
        <w:t>特色</w:t>
      </w:r>
      <w:r>
        <w:rPr>
          <w:rFonts w:hint="eastAsia" w:ascii="仿宋_GB2312" w:hAnsi="宋体" w:eastAsia="仿宋_GB2312"/>
          <w:sz w:val="32"/>
          <w:szCs w:val="32"/>
        </w:rPr>
        <w:t>资源，不断开拓培训领域。五年内，拓展并优化省内成教函授站点25个，力争在研究生教育、留学生教育上实现突破，学历继续教育在册人数规模保持稳定增长，力争到2025年突破万人；“高技能培训脱产班”在校学生人数保持在1200人，年均毛收入达到1200万以上；教师专业化培训、党政机关</w:t>
      </w:r>
      <w:r>
        <w:rPr>
          <w:rFonts w:hint="eastAsia" w:ascii="仿宋_GB2312" w:hAnsi="宋体" w:eastAsia="仿宋_GB2312"/>
          <w:sz w:val="32"/>
          <w:szCs w:val="32"/>
          <w:lang w:eastAsia="zh-CN"/>
        </w:rPr>
        <w:t>干部</w:t>
      </w:r>
      <w:r>
        <w:rPr>
          <w:rFonts w:hint="eastAsia" w:ascii="仿宋_GB2312" w:hAnsi="宋体" w:eastAsia="仿宋_GB2312"/>
          <w:sz w:val="32"/>
          <w:szCs w:val="32"/>
        </w:rPr>
        <w:t>培训及职业技能培训等各类培训项目、人次实现快速增长，毛收入在3400万的基础上实现逐年递增，各类收入在“十四五”期间有更大的突破。</w:t>
      </w:r>
    </w:p>
    <w:p>
      <w:pPr>
        <w:pageBreakBefore w:val="0"/>
        <w:kinsoku/>
        <w:wordWrap/>
        <w:overflowPunct/>
        <w:topLinePunct w:val="0"/>
        <w:autoSpaceDE/>
        <w:autoSpaceDN/>
        <w:bidi w:val="0"/>
        <w:adjustRightInd w:val="0"/>
        <w:snapToGrid w:val="0"/>
        <w:spacing w:line="560" w:lineRule="exact"/>
        <w:ind w:firstLine="643" w:firstLineChars="200"/>
        <w:rPr>
          <w:rFonts w:hint="eastAsia" w:ascii="仿宋_GB2312" w:hAnsi="宋体" w:eastAsia="仿宋_GB2312"/>
          <w:b/>
          <w:sz w:val="32"/>
          <w:szCs w:val="32"/>
          <w:lang w:eastAsia="zh-CN"/>
        </w:rPr>
      </w:pPr>
      <w:r>
        <w:rPr>
          <w:rFonts w:hint="eastAsia" w:ascii="仿宋_GB2312" w:hAnsi="宋体" w:eastAsia="仿宋_GB2312"/>
          <w:b/>
          <w:sz w:val="32"/>
          <w:szCs w:val="32"/>
        </w:rPr>
        <w:t>2.激发活力</w:t>
      </w:r>
      <w:r>
        <w:rPr>
          <w:rFonts w:hint="eastAsia" w:ascii="仿宋_GB2312" w:hAnsi="宋体" w:eastAsia="仿宋_GB2312"/>
          <w:b/>
          <w:sz w:val="32"/>
          <w:szCs w:val="32"/>
          <w:lang w:eastAsia="zh-CN"/>
        </w:rPr>
        <w:t>，</w:t>
      </w:r>
      <w:r>
        <w:rPr>
          <w:rFonts w:hint="eastAsia" w:ascii="仿宋_GB2312" w:hAnsi="宋体" w:eastAsia="仿宋_GB2312"/>
          <w:b/>
          <w:sz w:val="32"/>
          <w:szCs w:val="32"/>
        </w:rPr>
        <w:t>完善办学制度盘</w:t>
      </w:r>
      <w:r>
        <w:rPr>
          <w:rFonts w:hint="eastAsia" w:ascii="仿宋_GB2312" w:hAnsi="宋体" w:eastAsia="仿宋_GB2312"/>
          <w:b/>
          <w:sz w:val="32"/>
          <w:szCs w:val="32"/>
          <w:lang w:eastAsia="zh-CN"/>
        </w:rPr>
        <w:t>，切实</w:t>
      </w:r>
      <w:r>
        <w:rPr>
          <w:rFonts w:hint="eastAsia" w:ascii="仿宋_GB2312" w:hAnsi="宋体" w:eastAsia="仿宋_GB2312"/>
          <w:b/>
          <w:sz w:val="32"/>
          <w:szCs w:val="32"/>
        </w:rPr>
        <w:t>提升发展力</w:t>
      </w:r>
      <w:r>
        <w:rPr>
          <w:rFonts w:hint="eastAsia" w:ascii="仿宋_GB2312" w:hAnsi="宋体" w:eastAsia="仿宋_GB2312"/>
          <w:b/>
          <w:sz w:val="32"/>
          <w:szCs w:val="32"/>
          <w:lang w:eastAsia="zh-CN"/>
        </w:rPr>
        <w:t>。</w:t>
      </w:r>
    </w:p>
    <w:p>
      <w:pPr>
        <w:pageBreakBefore w:val="0"/>
        <w:kinsoku/>
        <w:wordWrap/>
        <w:overflowPunct/>
        <w:topLinePunct w:val="0"/>
        <w:autoSpaceDE/>
        <w:autoSpaceDN/>
        <w:bidi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健全继续教育内部治理体系，进一步完善绩效考核管理体系，激发全校教工的创收活力，“十四五”期间，</w:t>
      </w:r>
      <w:r>
        <w:rPr>
          <w:rFonts w:hint="eastAsia" w:ascii="黑体" w:hAnsi="黑体" w:eastAsia="黑体" w:cs="黑体"/>
          <w:sz w:val="32"/>
          <w:szCs w:val="32"/>
        </w:rPr>
        <w:t>修订完善10个规章制度</w:t>
      </w:r>
      <w:r>
        <w:rPr>
          <w:rFonts w:hint="eastAsia" w:ascii="仿宋_GB2312" w:hAnsi="宋体" w:eastAsia="仿宋_GB2312"/>
          <w:sz w:val="32"/>
          <w:szCs w:val="32"/>
        </w:rPr>
        <w:t>，以满足继续教育发展的新要求。探索建立动态分配机制，优化培训项目制管理与奖励，激发全校教</w:t>
      </w:r>
      <w:r>
        <w:rPr>
          <w:rFonts w:hint="eastAsia" w:ascii="仿宋_GB2312" w:hAnsi="宋体" w:eastAsia="仿宋_GB2312"/>
          <w:sz w:val="32"/>
          <w:szCs w:val="32"/>
          <w:lang w:eastAsia="zh-CN"/>
        </w:rPr>
        <w:t>职员</w:t>
      </w:r>
      <w:r>
        <w:rPr>
          <w:rFonts w:hint="eastAsia" w:ascii="仿宋_GB2312" w:hAnsi="宋体" w:eastAsia="仿宋_GB2312"/>
          <w:sz w:val="32"/>
          <w:szCs w:val="32"/>
        </w:rPr>
        <w:t>工参与继续教育的业务的积极性，形成人人参与、各尽其能、各得其所的良好局面。</w:t>
      </w:r>
    </w:p>
    <w:p>
      <w:pPr>
        <w:pageBreakBefore w:val="0"/>
        <w:kinsoku/>
        <w:wordWrap/>
        <w:overflowPunct/>
        <w:topLinePunct w:val="0"/>
        <w:autoSpaceDE/>
        <w:autoSpaceDN/>
        <w:bidi w:val="0"/>
        <w:adjustRightInd w:val="0"/>
        <w:snapToGrid w:val="0"/>
        <w:spacing w:line="560" w:lineRule="exact"/>
        <w:ind w:firstLine="643" w:firstLineChars="200"/>
        <w:rPr>
          <w:rFonts w:hint="eastAsia" w:ascii="仿宋_GB2312" w:hAnsi="宋体" w:eastAsia="仿宋_GB2312"/>
          <w:b/>
          <w:sz w:val="32"/>
          <w:szCs w:val="32"/>
          <w:lang w:eastAsia="zh-CN"/>
        </w:rPr>
      </w:pPr>
      <w:r>
        <w:rPr>
          <w:rFonts w:hint="eastAsia" w:ascii="仿宋_GB2312" w:hAnsi="宋体" w:eastAsia="仿宋_GB2312"/>
          <w:b/>
          <w:sz w:val="32"/>
          <w:szCs w:val="32"/>
        </w:rPr>
        <w:t>3.挖掘潜力</w:t>
      </w:r>
      <w:r>
        <w:rPr>
          <w:rFonts w:hint="eastAsia" w:ascii="仿宋_GB2312" w:hAnsi="宋体" w:eastAsia="仿宋_GB2312"/>
          <w:b/>
          <w:sz w:val="32"/>
          <w:szCs w:val="32"/>
          <w:lang w:eastAsia="zh-CN"/>
        </w:rPr>
        <w:t>，</w:t>
      </w:r>
      <w:r>
        <w:rPr>
          <w:rFonts w:hint="eastAsia" w:ascii="仿宋_GB2312" w:hAnsi="宋体" w:eastAsia="仿宋_GB2312"/>
          <w:b/>
          <w:sz w:val="32"/>
          <w:szCs w:val="32"/>
        </w:rPr>
        <w:t>推动</w:t>
      </w:r>
      <w:r>
        <w:rPr>
          <w:rFonts w:hint="eastAsia" w:ascii="仿宋_GB2312" w:hAnsi="宋体" w:eastAsia="仿宋_GB2312"/>
          <w:b/>
          <w:sz w:val="32"/>
          <w:szCs w:val="32"/>
          <w:lang w:eastAsia="zh-CN"/>
        </w:rPr>
        <w:t>业务</w:t>
      </w:r>
      <w:r>
        <w:rPr>
          <w:rFonts w:hint="eastAsia" w:ascii="仿宋_GB2312" w:hAnsi="宋体" w:eastAsia="仿宋_GB2312"/>
          <w:b/>
          <w:sz w:val="32"/>
          <w:szCs w:val="32"/>
        </w:rPr>
        <w:t>创新盘</w:t>
      </w:r>
      <w:r>
        <w:rPr>
          <w:rFonts w:hint="eastAsia" w:ascii="仿宋_GB2312" w:hAnsi="宋体" w:eastAsia="仿宋_GB2312"/>
          <w:b/>
          <w:sz w:val="32"/>
          <w:szCs w:val="32"/>
          <w:lang w:eastAsia="zh-CN"/>
        </w:rPr>
        <w:t>，系统</w:t>
      </w:r>
      <w:r>
        <w:rPr>
          <w:rFonts w:hint="eastAsia" w:ascii="仿宋_GB2312" w:hAnsi="宋体" w:eastAsia="仿宋_GB2312"/>
          <w:b/>
          <w:sz w:val="32"/>
          <w:szCs w:val="32"/>
        </w:rPr>
        <w:t>提升竞争力</w:t>
      </w:r>
      <w:r>
        <w:rPr>
          <w:rFonts w:hint="eastAsia" w:ascii="仿宋_GB2312" w:hAnsi="宋体" w:eastAsia="仿宋_GB2312"/>
          <w:b/>
          <w:sz w:val="32"/>
          <w:szCs w:val="32"/>
          <w:lang w:eastAsia="zh-CN"/>
        </w:rPr>
        <w:t>。</w:t>
      </w:r>
    </w:p>
    <w:p>
      <w:pPr>
        <w:pageBreakBefore w:val="0"/>
        <w:kinsoku/>
        <w:wordWrap/>
        <w:overflowPunct/>
        <w:topLinePunct w:val="0"/>
        <w:autoSpaceDE/>
        <w:autoSpaceDN/>
        <w:bidi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“十四五”期间，积极推进国家级师资培训平台的建设，拓展举办各级中小学教师专业发展培训项目900个；成立“两山”理念研究院培训中心，</w:t>
      </w:r>
      <w:r>
        <w:rPr>
          <w:rFonts w:hint="eastAsia" w:ascii="仿宋_GB2312" w:hAnsi="宋体" w:eastAsia="仿宋_GB2312"/>
          <w:sz w:val="32"/>
          <w:szCs w:val="32"/>
          <w:lang w:eastAsia="zh-CN"/>
        </w:rPr>
        <w:t>争取获批浙江省</w:t>
      </w:r>
      <w:r>
        <w:rPr>
          <w:rFonts w:hint="eastAsia" w:ascii="仿宋_GB2312" w:hAnsi="宋体" w:eastAsia="仿宋_GB2312"/>
          <w:sz w:val="32"/>
          <w:szCs w:val="32"/>
        </w:rPr>
        <w:t>干部</w:t>
      </w:r>
      <w:r>
        <w:rPr>
          <w:rFonts w:hint="default" w:ascii="仿宋_GB2312" w:hAnsi="宋体" w:eastAsia="仿宋_GB2312"/>
          <w:sz w:val="32"/>
          <w:szCs w:val="32"/>
        </w:rPr>
        <w:t>党性教育基地</w:t>
      </w:r>
      <w:r>
        <w:rPr>
          <w:rFonts w:hint="eastAsia" w:ascii="仿宋_GB2312" w:hAnsi="宋体" w:eastAsia="仿宋_GB2312"/>
          <w:sz w:val="32"/>
          <w:szCs w:val="32"/>
          <w:lang w:eastAsia="zh-CN"/>
        </w:rPr>
        <w:t>，</w:t>
      </w:r>
      <w:r>
        <w:rPr>
          <w:rFonts w:hint="eastAsia" w:ascii="仿宋_GB2312" w:hAnsi="宋体" w:eastAsia="仿宋_GB2312"/>
          <w:sz w:val="32"/>
          <w:szCs w:val="32"/>
        </w:rPr>
        <w:t>构建与地方党校的合作共建机制，实现举办党员教育培训项目400个</w:t>
      </w:r>
      <w:r>
        <w:rPr>
          <w:rFonts w:hint="eastAsia" w:ascii="仿宋_GB2312" w:hAnsi="宋体" w:eastAsia="仿宋_GB2312"/>
          <w:sz w:val="32"/>
          <w:szCs w:val="32"/>
          <w:lang w:eastAsia="zh-CN"/>
        </w:rPr>
        <w:t>以上</w:t>
      </w:r>
      <w:r>
        <w:rPr>
          <w:rFonts w:hint="eastAsia" w:ascii="仿宋_GB2312" w:hAnsi="宋体" w:eastAsia="仿宋_GB2312"/>
          <w:sz w:val="32"/>
          <w:szCs w:val="32"/>
        </w:rPr>
        <w:t>；争取</w:t>
      </w:r>
      <w:r>
        <w:rPr>
          <w:rFonts w:hint="eastAsia" w:ascii="仿宋_GB2312" w:hAnsi="宋体" w:eastAsia="仿宋_GB2312"/>
          <w:sz w:val="32"/>
          <w:szCs w:val="32"/>
          <w:lang w:eastAsia="zh-CN"/>
        </w:rPr>
        <w:t>获批</w:t>
      </w:r>
      <w:r>
        <w:rPr>
          <w:rFonts w:hint="default" w:ascii="仿宋_GB2312" w:hAnsi="宋体" w:eastAsia="仿宋_GB2312"/>
          <w:sz w:val="32"/>
          <w:szCs w:val="32"/>
        </w:rPr>
        <w:t>中小学研学教育实践基地</w:t>
      </w:r>
      <w:r>
        <w:rPr>
          <w:rFonts w:hint="eastAsia" w:ascii="仿宋_GB2312" w:hAnsi="宋体" w:eastAsia="仿宋_GB2312"/>
          <w:sz w:val="32"/>
          <w:szCs w:val="32"/>
        </w:rPr>
        <w:t>，推出中小学生素质培训、</w:t>
      </w:r>
      <w:r>
        <w:rPr>
          <w:rFonts w:hint="eastAsia" w:ascii="仿宋_GB2312" w:hAnsi="宋体" w:eastAsia="仿宋_GB2312"/>
          <w:sz w:val="32"/>
          <w:szCs w:val="32"/>
          <w:lang w:eastAsia="zh-CN"/>
        </w:rPr>
        <w:t>职业体验与生涯规划咨询、</w:t>
      </w:r>
      <w:r>
        <w:rPr>
          <w:rFonts w:hint="eastAsia" w:ascii="仿宋_GB2312" w:hAnsi="宋体" w:eastAsia="仿宋_GB2312"/>
          <w:sz w:val="32"/>
          <w:szCs w:val="32"/>
        </w:rPr>
        <w:t>人防安全教育</w:t>
      </w:r>
      <w:r>
        <w:rPr>
          <w:rFonts w:hint="eastAsia" w:ascii="仿宋_GB2312" w:hAnsi="宋体" w:eastAsia="仿宋_GB2312"/>
          <w:sz w:val="32"/>
          <w:szCs w:val="32"/>
          <w:lang w:eastAsia="zh-CN"/>
        </w:rPr>
        <w:t>体验</w:t>
      </w:r>
      <w:r>
        <w:rPr>
          <w:rFonts w:hint="eastAsia" w:ascii="仿宋_GB2312" w:hAnsi="宋体" w:eastAsia="仿宋_GB2312"/>
          <w:sz w:val="32"/>
          <w:szCs w:val="32"/>
        </w:rPr>
        <w:t>等项目，累计实现举办青少年培训项目5</w:t>
      </w:r>
      <w:r>
        <w:rPr>
          <w:rFonts w:hint="eastAsia" w:ascii="仿宋_GB2312" w:hAnsi="宋体" w:eastAsia="仿宋_GB2312"/>
          <w:sz w:val="32"/>
          <w:szCs w:val="32"/>
          <w:lang w:val="en-US" w:eastAsia="zh-CN"/>
        </w:rPr>
        <w:t>0</w:t>
      </w:r>
      <w:r>
        <w:rPr>
          <w:rFonts w:hint="eastAsia" w:ascii="仿宋_GB2312" w:hAnsi="宋体" w:eastAsia="仿宋_GB2312"/>
          <w:sz w:val="32"/>
          <w:szCs w:val="32"/>
        </w:rPr>
        <w:t>0个</w:t>
      </w:r>
      <w:r>
        <w:rPr>
          <w:rFonts w:hint="eastAsia" w:ascii="仿宋_GB2312" w:hAnsi="宋体" w:eastAsia="仿宋_GB2312"/>
          <w:sz w:val="32"/>
          <w:szCs w:val="32"/>
          <w:lang w:eastAsia="zh-CN"/>
        </w:rPr>
        <w:t>以上</w:t>
      </w:r>
      <w:r>
        <w:rPr>
          <w:rFonts w:hint="eastAsia" w:ascii="仿宋_GB2312" w:hAnsi="宋体" w:eastAsia="仿宋_GB2312"/>
          <w:sz w:val="32"/>
          <w:szCs w:val="32"/>
        </w:rPr>
        <w:t>；力争</w:t>
      </w:r>
      <w:r>
        <w:rPr>
          <w:rFonts w:hint="eastAsia" w:ascii="黑体" w:hAnsi="黑体" w:eastAsia="黑体" w:cs="黑体"/>
          <w:sz w:val="32"/>
          <w:szCs w:val="32"/>
        </w:rPr>
        <w:t>获得不低于10个工种的职业技能等级认定资质</w:t>
      </w:r>
      <w:r>
        <w:rPr>
          <w:rFonts w:hint="eastAsia" w:ascii="仿宋_GB2312" w:hAnsi="宋体" w:eastAsia="仿宋_GB2312"/>
          <w:sz w:val="32"/>
          <w:szCs w:val="32"/>
        </w:rPr>
        <w:t>，职业技能等级认定达到2</w:t>
      </w:r>
      <w:r>
        <w:rPr>
          <w:rFonts w:hint="eastAsia" w:ascii="仿宋_GB2312" w:hAnsi="宋体" w:eastAsia="仿宋_GB2312"/>
          <w:sz w:val="32"/>
          <w:szCs w:val="32"/>
          <w:lang w:eastAsia="zh-CN"/>
        </w:rPr>
        <w:t>万</w:t>
      </w:r>
      <w:r>
        <w:rPr>
          <w:rFonts w:hint="eastAsia" w:ascii="仿宋_GB2312" w:hAnsi="宋体" w:eastAsia="仿宋_GB2312"/>
          <w:sz w:val="32"/>
          <w:szCs w:val="32"/>
        </w:rPr>
        <w:t>人次</w:t>
      </w:r>
      <w:r>
        <w:rPr>
          <w:rFonts w:hint="eastAsia" w:ascii="仿宋_GB2312" w:hAnsi="宋体" w:eastAsia="仿宋_GB2312"/>
          <w:sz w:val="32"/>
          <w:szCs w:val="32"/>
          <w:lang w:eastAsia="zh-CN"/>
        </w:rPr>
        <w:t>以上</w:t>
      </w:r>
      <w:r>
        <w:rPr>
          <w:rFonts w:hint="eastAsia" w:ascii="仿宋_GB2312" w:hAnsi="宋体" w:eastAsia="仿宋_GB2312"/>
          <w:sz w:val="32"/>
          <w:szCs w:val="32"/>
        </w:rPr>
        <w:t>；</w:t>
      </w:r>
      <w:r>
        <w:rPr>
          <w:rFonts w:hint="eastAsia" w:ascii="仿宋_GB2312" w:hAnsi="宋体" w:eastAsia="仿宋_GB2312"/>
          <w:sz w:val="32"/>
          <w:szCs w:val="32"/>
          <w:lang w:eastAsia="zh-CN"/>
        </w:rPr>
        <w:t>充分发挥各类培训相关基地作用，</w:t>
      </w:r>
      <w:r>
        <w:rPr>
          <w:rFonts w:hint="eastAsia" w:ascii="仿宋_GB2312" w:hAnsi="宋体" w:eastAsia="仿宋_GB2312"/>
          <w:sz w:val="32"/>
          <w:szCs w:val="32"/>
        </w:rPr>
        <w:t>加强与各级职能部门、社会团体的联系，拓展举办老年群体、女性群体及退役军人群体培训项目</w:t>
      </w:r>
      <w:r>
        <w:rPr>
          <w:rFonts w:hint="eastAsia" w:ascii="仿宋_GB2312" w:hAnsi="宋体" w:eastAsia="仿宋_GB2312"/>
          <w:sz w:val="32"/>
          <w:szCs w:val="32"/>
          <w:lang w:val="en-US" w:eastAsia="zh-CN"/>
        </w:rPr>
        <w:t>100</w:t>
      </w:r>
      <w:r>
        <w:rPr>
          <w:rFonts w:hint="eastAsia" w:ascii="仿宋_GB2312" w:hAnsi="宋体" w:eastAsia="仿宋_GB2312"/>
          <w:sz w:val="32"/>
          <w:szCs w:val="32"/>
        </w:rPr>
        <w:t>个</w:t>
      </w:r>
      <w:r>
        <w:rPr>
          <w:rFonts w:hint="eastAsia" w:ascii="仿宋_GB2312" w:hAnsi="宋体" w:eastAsia="仿宋_GB2312"/>
          <w:sz w:val="32"/>
          <w:szCs w:val="32"/>
          <w:lang w:eastAsia="zh-CN"/>
        </w:rPr>
        <w:t>左右</w:t>
      </w:r>
      <w:r>
        <w:rPr>
          <w:rFonts w:hint="eastAsia" w:ascii="仿宋_GB2312" w:hAnsi="宋体" w:eastAsia="仿宋_GB2312"/>
          <w:sz w:val="32"/>
          <w:szCs w:val="32"/>
        </w:rPr>
        <w:t>。</w:t>
      </w:r>
    </w:p>
    <w:p>
      <w:pPr>
        <w:pageBreakBefore w:val="0"/>
        <w:kinsoku/>
        <w:wordWrap/>
        <w:overflowPunct/>
        <w:topLinePunct w:val="0"/>
        <w:autoSpaceDE/>
        <w:autoSpaceDN/>
        <w:bidi w:val="0"/>
        <w:adjustRightInd w:val="0"/>
        <w:snapToGrid w:val="0"/>
        <w:spacing w:line="560" w:lineRule="exact"/>
        <w:ind w:firstLine="643" w:firstLineChars="200"/>
        <w:rPr>
          <w:rFonts w:hint="eastAsia" w:ascii="仿宋_GB2312" w:hAnsi="宋体" w:eastAsia="仿宋_GB2312"/>
          <w:b/>
          <w:sz w:val="32"/>
          <w:szCs w:val="32"/>
          <w:lang w:eastAsia="zh-CN"/>
        </w:rPr>
      </w:pPr>
      <w:r>
        <w:rPr>
          <w:rFonts w:hint="eastAsia" w:ascii="仿宋_GB2312" w:hAnsi="宋体" w:eastAsia="仿宋_GB2312"/>
          <w:b/>
          <w:sz w:val="32"/>
          <w:szCs w:val="32"/>
        </w:rPr>
        <w:t>4.</w:t>
      </w:r>
      <w:r>
        <w:rPr>
          <w:rFonts w:hint="eastAsia" w:ascii="仿宋_GB2312" w:hAnsi="宋体" w:eastAsia="仿宋_GB2312"/>
          <w:b/>
          <w:sz w:val="32"/>
          <w:szCs w:val="32"/>
          <w:lang w:eastAsia="zh-CN"/>
        </w:rPr>
        <w:t>增强</w:t>
      </w:r>
      <w:r>
        <w:rPr>
          <w:rFonts w:hint="eastAsia" w:ascii="仿宋_GB2312" w:hAnsi="宋体" w:eastAsia="仿宋_GB2312"/>
          <w:b/>
          <w:sz w:val="32"/>
          <w:szCs w:val="32"/>
        </w:rPr>
        <w:t>耐力</w:t>
      </w:r>
      <w:r>
        <w:rPr>
          <w:rFonts w:hint="eastAsia" w:ascii="仿宋_GB2312" w:hAnsi="宋体" w:eastAsia="仿宋_GB2312"/>
          <w:b/>
          <w:sz w:val="32"/>
          <w:szCs w:val="32"/>
          <w:lang w:eastAsia="zh-CN"/>
        </w:rPr>
        <w:t>，</w:t>
      </w:r>
      <w:r>
        <w:rPr>
          <w:rFonts w:hint="eastAsia" w:ascii="仿宋_GB2312" w:hAnsi="宋体" w:eastAsia="仿宋_GB2312"/>
          <w:b/>
          <w:sz w:val="32"/>
          <w:szCs w:val="32"/>
        </w:rPr>
        <w:t>提</w:t>
      </w:r>
      <w:r>
        <w:rPr>
          <w:rFonts w:hint="eastAsia" w:ascii="仿宋_GB2312" w:hAnsi="宋体" w:eastAsia="仿宋_GB2312"/>
          <w:b/>
          <w:sz w:val="32"/>
          <w:szCs w:val="32"/>
          <w:lang w:eastAsia="zh-CN"/>
        </w:rPr>
        <w:t>高工作</w:t>
      </w:r>
      <w:r>
        <w:rPr>
          <w:rFonts w:hint="eastAsia" w:ascii="仿宋_GB2312" w:hAnsi="宋体" w:eastAsia="仿宋_GB2312"/>
          <w:b/>
          <w:sz w:val="32"/>
          <w:szCs w:val="32"/>
        </w:rPr>
        <w:t>效益盘</w:t>
      </w:r>
      <w:r>
        <w:rPr>
          <w:rFonts w:hint="eastAsia" w:ascii="仿宋_GB2312" w:hAnsi="宋体" w:eastAsia="仿宋_GB2312"/>
          <w:b/>
          <w:sz w:val="32"/>
          <w:szCs w:val="32"/>
          <w:lang w:eastAsia="zh-CN"/>
        </w:rPr>
        <w:t>，全面</w:t>
      </w:r>
      <w:r>
        <w:rPr>
          <w:rFonts w:hint="eastAsia" w:ascii="仿宋_GB2312" w:hAnsi="宋体" w:eastAsia="仿宋_GB2312"/>
          <w:b/>
          <w:sz w:val="32"/>
          <w:szCs w:val="32"/>
        </w:rPr>
        <w:t>提升持续力</w:t>
      </w:r>
      <w:r>
        <w:rPr>
          <w:rFonts w:hint="eastAsia" w:ascii="仿宋_GB2312" w:hAnsi="宋体" w:eastAsia="仿宋_GB2312"/>
          <w:b/>
          <w:sz w:val="32"/>
          <w:szCs w:val="32"/>
          <w:lang w:eastAsia="zh-CN"/>
        </w:rPr>
        <w:t>。</w:t>
      </w:r>
    </w:p>
    <w:p>
      <w:pPr>
        <w:pageBreakBefore w:val="0"/>
        <w:kinsoku/>
        <w:wordWrap/>
        <w:overflowPunct/>
        <w:topLinePunct w:val="0"/>
        <w:autoSpaceDE/>
        <w:autoSpaceDN/>
        <w:bidi w:val="0"/>
        <w:adjustRightInd w:val="0"/>
        <w:snapToGrid w:val="0"/>
        <w:spacing w:line="560" w:lineRule="exact"/>
        <w:ind w:firstLine="640" w:firstLineChars="200"/>
        <w:rPr>
          <w:rFonts w:hint="eastAsia" w:ascii="仿宋_GB2312" w:hAnsi="宋体" w:eastAsia="仿宋_GB2312"/>
          <w:sz w:val="32"/>
          <w:szCs w:val="32"/>
          <w:u w:val="single"/>
        </w:rPr>
      </w:pPr>
      <w:r>
        <w:rPr>
          <w:rFonts w:hint="eastAsia" w:ascii="仿宋_GB2312" w:hAnsi="宋体" w:eastAsia="仿宋_GB2312"/>
          <w:sz w:val="32"/>
          <w:szCs w:val="32"/>
        </w:rPr>
        <w:t>准确把握继续教育发展社会效益与经济效益的关系，认清社会效益是高等教育追求的根本目标，进而创造更好的经济效益。力争在“十四五”开局之年上交学校毛收入6000万的基础上，保持年增长率不低于20%，争取到2024年，上交学校毛收入突破1亿元，毛收入相比“十三五”时期实现至少翻一番的效益目标。</w:t>
      </w:r>
    </w:p>
    <w:p>
      <w:pPr>
        <w:pageBreakBefore w:val="0"/>
        <w:kinsoku/>
        <w:wordWrap/>
        <w:overflowPunct/>
        <w:topLinePunct w:val="0"/>
        <w:autoSpaceDE/>
        <w:autoSpaceDN/>
        <w:bidi w:val="0"/>
        <w:adjustRightInd w:val="0"/>
        <w:snapToGrid w:val="0"/>
        <w:spacing w:line="560" w:lineRule="exact"/>
        <w:ind w:firstLine="627" w:firstLineChars="196"/>
        <w:rPr>
          <w:rFonts w:hint="eastAsia" w:ascii="黑体" w:hAnsi="黑体" w:eastAsia="黑体"/>
          <w:b w:val="0"/>
          <w:bCs/>
          <w:sz w:val="32"/>
          <w:szCs w:val="32"/>
        </w:rPr>
      </w:pPr>
      <w:r>
        <w:rPr>
          <w:rFonts w:hint="eastAsia" w:ascii="黑体" w:hAnsi="黑体" w:eastAsia="黑体"/>
          <w:b w:val="0"/>
          <w:bCs/>
          <w:sz w:val="32"/>
          <w:szCs w:val="32"/>
        </w:rPr>
        <w:t>三、工作内容与</w:t>
      </w:r>
      <w:r>
        <w:rPr>
          <w:rFonts w:hint="eastAsia" w:ascii="黑体" w:hAnsi="黑体" w:eastAsia="黑体"/>
          <w:b w:val="0"/>
          <w:bCs/>
          <w:sz w:val="32"/>
          <w:szCs w:val="32"/>
          <w:lang w:eastAsia="zh-CN"/>
        </w:rPr>
        <w:t>主</w:t>
      </w:r>
      <w:r>
        <w:rPr>
          <w:rFonts w:hint="eastAsia" w:ascii="黑体" w:hAnsi="黑体" w:eastAsia="黑体"/>
          <w:b w:val="0"/>
          <w:bCs/>
          <w:sz w:val="32"/>
          <w:szCs w:val="32"/>
        </w:rPr>
        <w:t>要举措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（一）夯实党建工作基础，引领继教发展新方向</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1.提高站位，进一步发挥党支部战斗堡垒作用。</w:t>
      </w:r>
      <w:r>
        <w:rPr>
          <w:rFonts w:hint="eastAsia" w:ascii="仿宋_GB2312" w:hAnsi="仿宋_GB2312" w:eastAsia="仿宋_GB2312" w:cs="仿宋_GB2312"/>
          <w:sz w:val="32"/>
          <w:szCs w:val="32"/>
          <w:lang w:val="en-US" w:eastAsia="zh-CN"/>
        </w:rPr>
        <w:t>深入学习贯彻落实习近平新时代中国特色社会主义思想及党的最新政策精神，进一步加强党支部建设，完善和落实各项规章制度，认真落实“支委会议事规则”，开好党政联席会议，坚持“三重一大”事项决策的科学化、民主化、规范化，切实体现“以党建促发展”的工作目标，将党建工作与学院中心工作深度融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2.立德树人，进一步增强优秀学子辐射效应。</w:t>
      </w:r>
      <w:r>
        <w:rPr>
          <w:rFonts w:hint="eastAsia" w:ascii="仿宋_GB2312" w:hAnsi="仿宋_GB2312" w:eastAsia="仿宋_GB2312" w:cs="仿宋_GB2312"/>
          <w:sz w:val="32"/>
          <w:szCs w:val="32"/>
          <w:lang w:val="en-US" w:eastAsia="zh-CN"/>
        </w:rPr>
        <w:t>以习近平新时代中国特色社会主义思想为指引，加强对“高技能培训脱产班”学生的管理与培养，建立“学院—机构—班级”三位一体的管理机制，形成全员育人、全程育人、全方位育人的思想政治工作运行机制。在培养的过程中，每年至少</w:t>
      </w:r>
      <w:r>
        <w:rPr>
          <w:rFonts w:hint="eastAsia" w:ascii="黑体" w:hAnsi="黑体" w:eastAsia="黑体" w:cs="黑体"/>
          <w:sz w:val="32"/>
          <w:szCs w:val="32"/>
          <w:lang w:val="en-US" w:eastAsia="zh-CN"/>
        </w:rPr>
        <w:t>选树10名优秀学生典型</w:t>
      </w:r>
      <w:r>
        <w:rPr>
          <w:rFonts w:hint="eastAsia" w:ascii="仿宋_GB2312" w:hAnsi="仿宋_GB2312" w:eastAsia="仿宋_GB2312" w:cs="仿宋_GB2312"/>
          <w:sz w:val="32"/>
          <w:szCs w:val="32"/>
          <w:lang w:val="en-US" w:eastAsia="zh-CN"/>
        </w:rPr>
        <w:t>，通过各类平台宣传考研、考编等学生的典型事迹，发挥榜样作用，引导学生见贤思齐。同时，进一步挖掘继续教育学院优秀校友的宝贵资源，为继续教育工作提供更多帮助与支持。</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3.提振士气，进一步打造对外服务重要窗口。</w:t>
      </w:r>
      <w:r>
        <w:rPr>
          <w:rFonts w:hint="eastAsia" w:ascii="仿宋_GB2312" w:hAnsi="仿宋_GB2312" w:eastAsia="仿宋_GB2312" w:cs="仿宋_GB2312"/>
          <w:sz w:val="32"/>
          <w:szCs w:val="32"/>
          <w:lang w:val="en-US" w:eastAsia="zh-CN"/>
        </w:rPr>
        <w:t>构建“党建+”工作模式，让每一名党员都成为一面旗帜，主动认领学院发展中的重点难点工作。加强对党员干部的培训，建立健全外出培训制度，加强与兄弟高校交流，打造对党忠诚、素质全面、清正廉洁的继教党员队伍，力争在平台建设、项目合作、社会服务等领域有更大的突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4.四责协同，进一步抓实抓细党风廉政建设。</w:t>
      </w:r>
      <w:r>
        <w:rPr>
          <w:rFonts w:hint="eastAsia" w:ascii="仿宋_GB2312" w:hAnsi="仿宋_GB2312" w:eastAsia="仿宋_GB2312" w:cs="仿宋_GB2312"/>
          <w:sz w:val="32"/>
          <w:szCs w:val="32"/>
          <w:lang w:val="en-US" w:eastAsia="zh-CN"/>
        </w:rPr>
        <w:t>全面推进从严治党“四责协同”机制，加强对党风廉政建设的系统研究，突出问题导向，努力形成党风廉政建设常态长效机制。根据继续教育学院实际情况，因地制宜，做好廉政风险防控工作，做到抓党员、抓学院中层、抓关键岗位，形成一级抓一级，层层抓落实、责任全覆盖的工作格局。</w:t>
      </w:r>
    </w:p>
    <w:p>
      <w:pPr>
        <w:pageBreakBefore w:val="0"/>
        <w:kinsoku/>
        <w:wordWrap/>
        <w:overflowPunct/>
        <w:topLinePunct w:val="0"/>
        <w:autoSpaceDE/>
        <w:autoSpaceDN/>
        <w:bidi w:val="0"/>
        <w:adjustRightInd w:val="0"/>
        <w:snapToGrid w:val="0"/>
        <w:spacing w:line="560" w:lineRule="exact"/>
        <w:ind w:firstLine="643" w:firstLineChars="200"/>
        <w:rPr>
          <w:rFonts w:hint="eastAsia" w:ascii="楷体" w:hAnsi="楷体" w:eastAsia="楷体"/>
          <w:b/>
          <w:sz w:val="32"/>
          <w:szCs w:val="32"/>
        </w:rPr>
      </w:pPr>
      <w:r>
        <w:rPr>
          <w:rFonts w:hint="eastAsia" w:ascii="楷体" w:hAnsi="楷体" w:eastAsia="楷体"/>
          <w:b/>
          <w:sz w:val="32"/>
          <w:szCs w:val="32"/>
        </w:rPr>
        <w:t>（二）健全内部治理体系，适应学校发展新要求</w:t>
      </w:r>
    </w:p>
    <w:p>
      <w:pPr>
        <w:pageBreakBefore w:val="0"/>
        <w:kinsoku/>
        <w:wordWrap/>
        <w:overflowPunct/>
        <w:topLinePunct w:val="0"/>
        <w:autoSpaceDE/>
        <w:autoSpaceDN/>
        <w:bidi w:val="0"/>
        <w:adjustRightInd w:val="0"/>
        <w:snapToGrid w:val="0"/>
        <w:spacing w:line="560" w:lineRule="exact"/>
        <w:ind w:firstLine="640" w:firstLineChars="200"/>
        <w:rPr>
          <w:rFonts w:hint="eastAsia" w:ascii="仿宋_GB2312" w:hAnsi="宋体" w:eastAsia="仿宋_GB2312"/>
          <w:sz w:val="32"/>
          <w:szCs w:val="32"/>
          <w:lang w:eastAsia="zh-CN"/>
        </w:rPr>
      </w:pPr>
      <w:r>
        <w:rPr>
          <w:rFonts w:hint="eastAsia" w:ascii="黑体" w:hAnsi="黑体" w:eastAsia="黑体" w:cs="黑体"/>
          <w:sz w:val="32"/>
          <w:szCs w:val="32"/>
          <w:lang w:val="en-US" w:eastAsia="zh-CN"/>
        </w:rPr>
        <w:t>1.进一步健全制度体系。</w:t>
      </w:r>
      <w:r>
        <w:rPr>
          <w:rFonts w:hint="eastAsia" w:ascii="仿宋_GB2312" w:hAnsi="宋体" w:eastAsia="仿宋_GB2312"/>
          <w:sz w:val="32"/>
          <w:szCs w:val="32"/>
        </w:rPr>
        <w:t>以继续教育体制机制改革为重点，在目标任务考核、培训项目制奖励、服务地方成果认定等方面，建立和完善考核激励体系，修订《继续教育收入分配与管理办法》，制定《二级学院非学历教育考核管理办法》</w:t>
      </w:r>
      <w:r>
        <w:rPr>
          <w:rFonts w:hint="eastAsia" w:ascii="仿宋_GB2312" w:hAnsi="宋体" w:eastAsia="仿宋_GB2312"/>
          <w:sz w:val="32"/>
          <w:szCs w:val="32"/>
          <w:lang w:eastAsia="zh-CN"/>
        </w:rPr>
        <w:t>、</w:t>
      </w:r>
      <w:r>
        <w:rPr>
          <w:rFonts w:hint="eastAsia" w:ascii="仿宋_GB2312" w:hAnsi="宋体" w:eastAsia="仿宋_GB2312"/>
          <w:sz w:val="32"/>
          <w:szCs w:val="32"/>
        </w:rPr>
        <w:t>《继续教育培训项目专员激励管理办法》</w:t>
      </w:r>
      <w:r>
        <w:rPr>
          <w:rFonts w:hint="eastAsia" w:ascii="仿宋_GB2312" w:hAnsi="宋体" w:eastAsia="仿宋_GB2312"/>
          <w:sz w:val="32"/>
          <w:szCs w:val="32"/>
          <w:lang w:eastAsia="zh-CN"/>
        </w:rPr>
        <w:t>、</w:t>
      </w:r>
      <w:r>
        <w:rPr>
          <w:rFonts w:hint="eastAsia" w:ascii="仿宋_GB2312" w:hAnsi="宋体" w:eastAsia="仿宋_GB2312"/>
          <w:sz w:val="32"/>
          <w:szCs w:val="32"/>
        </w:rPr>
        <w:t>《职业技能等级认定培训与管理办法》</w:t>
      </w:r>
      <w:r>
        <w:rPr>
          <w:rFonts w:hint="eastAsia" w:ascii="仿宋_GB2312" w:hAnsi="宋体" w:eastAsia="仿宋_GB2312"/>
          <w:sz w:val="32"/>
          <w:szCs w:val="32"/>
          <w:lang w:eastAsia="zh-CN"/>
        </w:rPr>
        <w:t>、</w:t>
      </w:r>
      <w:r>
        <w:rPr>
          <w:rFonts w:hint="eastAsia" w:ascii="仿宋_GB2312" w:hAnsi="宋体" w:eastAsia="仿宋_GB2312"/>
          <w:sz w:val="32"/>
          <w:szCs w:val="32"/>
        </w:rPr>
        <w:t>《继续教育学院</w:t>
      </w:r>
      <w:r>
        <w:rPr>
          <w:rFonts w:hint="eastAsia" w:ascii="仿宋_GB2312" w:hAnsi="宋体" w:eastAsia="仿宋_GB2312"/>
          <w:sz w:val="32"/>
          <w:szCs w:val="32"/>
          <w:lang w:eastAsia="zh-CN"/>
        </w:rPr>
        <w:t>绩效考核管理办法</w:t>
      </w:r>
      <w:r>
        <w:rPr>
          <w:rFonts w:hint="eastAsia" w:ascii="仿宋_GB2312" w:hAnsi="宋体" w:eastAsia="仿宋_GB2312"/>
          <w:sz w:val="32"/>
          <w:szCs w:val="32"/>
        </w:rPr>
        <w:t>》</w:t>
      </w:r>
      <w:r>
        <w:rPr>
          <w:rFonts w:hint="eastAsia" w:ascii="仿宋_GB2312" w:hAnsi="宋体" w:eastAsia="仿宋_GB2312"/>
          <w:sz w:val="32"/>
          <w:szCs w:val="32"/>
          <w:lang w:eastAsia="zh-CN"/>
        </w:rPr>
        <w:t>等规章制度，编制《继续教育制度汇编》并加强制度的学习与贯彻，以制度引导继续教育事业的发展。</w:t>
      </w:r>
    </w:p>
    <w:p>
      <w:pPr>
        <w:pageBreakBefore w:val="0"/>
        <w:kinsoku/>
        <w:wordWrap/>
        <w:overflowPunct/>
        <w:topLinePunct w:val="0"/>
        <w:autoSpaceDE/>
        <w:autoSpaceDN/>
        <w:bidi w:val="0"/>
        <w:adjustRightInd w:val="0"/>
        <w:snapToGrid w:val="0"/>
        <w:spacing w:line="560" w:lineRule="exact"/>
        <w:ind w:firstLine="640" w:firstLineChars="200"/>
        <w:rPr>
          <w:rFonts w:hint="eastAsia" w:ascii="仿宋_GB2312" w:hAnsi="宋体" w:eastAsia="仿宋_GB2312"/>
          <w:sz w:val="32"/>
          <w:szCs w:val="32"/>
        </w:rPr>
      </w:pPr>
      <w:r>
        <w:rPr>
          <w:rFonts w:hint="eastAsia" w:ascii="黑体" w:hAnsi="黑体" w:eastAsia="黑体" w:cs="黑体"/>
          <w:sz w:val="32"/>
          <w:szCs w:val="32"/>
          <w:lang w:val="en-US" w:eastAsia="zh-CN"/>
        </w:rPr>
        <w:t>2.进一步加强信息化建设。</w:t>
      </w:r>
      <w:r>
        <w:rPr>
          <w:rFonts w:hint="eastAsia" w:ascii="仿宋_GB2312" w:hAnsi="宋体" w:eastAsia="仿宋_GB2312"/>
          <w:sz w:val="32"/>
          <w:szCs w:val="32"/>
        </w:rPr>
        <w:t>不断加大信息化投入，着手建设继续教育网络化管理服务系统，打造继续教育管理服务信息平台。创新高校继续教育教学模式，大力开发和共享一批在线精品课程，加强教学互动和个性化精准推送服务，推动教育组织形式和管理模式变革创新，为各类社会培训提供有力支撑。加强继续教育师资队伍和管理队伍的信息化培养培训工作，建设一支专业化的继续教育管理、教学、服务队伍，助推继续教育治理现代化。</w:t>
      </w:r>
    </w:p>
    <w:p>
      <w:pPr>
        <w:pageBreakBefore w:val="0"/>
        <w:kinsoku/>
        <w:wordWrap/>
        <w:overflowPunct/>
        <w:topLinePunct w:val="0"/>
        <w:autoSpaceDE/>
        <w:autoSpaceDN/>
        <w:bidi w:val="0"/>
        <w:adjustRightInd w:val="0"/>
        <w:snapToGrid w:val="0"/>
        <w:spacing w:line="560" w:lineRule="exact"/>
        <w:ind w:firstLine="643" w:firstLineChars="200"/>
        <w:rPr>
          <w:rFonts w:hint="eastAsia" w:ascii="仿宋_GB2312" w:eastAsia="仿宋_GB2312"/>
          <w:b/>
          <w:sz w:val="32"/>
          <w:szCs w:val="32"/>
        </w:rPr>
      </w:pPr>
      <w:r>
        <w:rPr>
          <w:rFonts w:hint="eastAsia" w:ascii="仿宋_GB2312" w:eastAsia="仿宋_GB2312"/>
          <w:b/>
          <w:sz w:val="32"/>
          <w:szCs w:val="32"/>
        </w:rPr>
        <w:t>3.进一步整合有效资源。</w:t>
      </w:r>
      <w:r>
        <w:rPr>
          <w:rFonts w:hint="eastAsia" w:ascii="仿宋_GB2312" w:eastAsia="仿宋_GB2312"/>
          <w:sz w:val="32"/>
          <w:szCs w:val="32"/>
        </w:rPr>
        <w:t>依托学校</w:t>
      </w:r>
      <w:r>
        <w:rPr>
          <w:rFonts w:hint="eastAsia" w:ascii="仿宋_GB2312" w:eastAsia="仿宋_GB2312"/>
          <w:sz w:val="32"/>
          <w:szCs w:val="32"/>
          <w:lang w:eastAsia="zh-CN"/>
        </w:rPr>
        <w:t>学科与</w:t>
      </w:r>
      <w:r>
        <w:rPr>
          <w:rFonts w:hint="eastAsia" w:ascii="仿宋_GB2312" w:eastAsia="仿宋_GB2312"/>
          <w:sz w:val="32"/>
          <w:szCs w:val="32"/>
        </w:rPr>
        <w:t>专业优势</w:t>
      </w:r>
      <w:r>
        <w:rPr>
          <w:rFonts w:hint="eastAsia" w:ascii="仿宋_GB2312" w:eastAsia="仿宋_GB2312"/>
          <w:sz w:val="32"/>
          <w:szCs w:val="32"/>
          <w:lang w:eastAsia="zh-CN"/>
        </w:rPr>
        <w:t>，</w:t>
      </w:r>
      <w:r>
        <w:rPr>
          <w:rFonts w:hint="eastAsia" w:ascii="仿宋_GB2312" w:eastAsia="仿宋_GB2312"/>
          <w:sz w:val="32"/>
          <w:szCs w:val="32"/>
        </w:rPr>
        <w:t>全力构建与地方政府、企业的合作互动机制，</w:t>
      </w:r>
      <w:r>
        <w:rPr>
          <w:rFonts w:hint="eastAsia" w:ascii="仿宋_GB2312" w:eastAsia="仿宋_GB2312"/>
          <w:sz w:val="32"/>
          <w:szCs w:val="32"/>
          <w:lang w:eastAsia="zh-CN"/>
        </w:rPr>
        <w:t>进一步开发</w:t>
      </w:r>
      <w:r>
        <w:rPr>
          <w:rFonts w:hint="eastAsia" w:ascii="仿宋_GB2312" w:eastAsia="仿宋_GB2312"/>
          <w:sz w:val="32"/>
          <w:szCs w:val="32"/>
        </w:rPr>
        <w:t>国家</w:t>
      </w:r>
      <w:r>
        <w:rPr>
          <w:rFonts w:hint="default" w:ascii="仿宋_GB2312" w:eastAsia="仿宋_GB2312"/>
          <w:sz w:val="32"/>
          <w:szCs w:val="32"/>
        </w:rPr>
        <w:t>语言文字推广基地</w:t>
      </w:r>
      <w:r>
        <w:rPr>
          <w:rFonts w:hint="eastAsia" w:ascii="仿宋_GB2312" w:eastAsia="仿宋_GB2312"/>
          <w:sz w:val="32"/>
          <w:szCs w:val="32"/>
          <w:lang w:eastAsia="zh-CN"/>
        </w:rPr>
        <w:t>、浙江省专业技术人才继续教育基地</w:t>
      </w:r>
      <w:r>
        <w:rPr>
          <w:rFonts w:hint="eastAsia" w:ascii="仿宋_GB2312" w:eastAsia="仿宋_GB2312"/>
          <w:sz w:val="32"/>
          <w:szCs w:val="32"/>
        </w:rPr>
        <w:t>、</w:t>
      </w:r>
      <w:r>
        <w:rPr>
          <w:rFonts w:hint="eastAsia" w:ascii="仿宋_GB2312" w:eastAsia="仿宋_GB2312"/>
          <w:sz w:val="32"/>
          <w:szCs w:val="32"/>
          <w:lang w:eastAsia="zh-CN"/>
        </w:rPr>
        <w:t>浙江省</w:t>
      </w:r>
      <w:r>
        <w:rPr>
          <w:rFonts w:hint="eastAsia" w:ascii="仿宋_GB2312" w:eastAsia="仿宋_GB2312"/>
          <w:sz w:val="32"/>
          <w:szCs w:val="32"/>
        </w:rPr>
        <w:t>非遗传承教学基地</w:t>
      </w:r>
      <w:r>
        <w:rPr>
          <w:rFonts w:hint="eastAsia" w:ascii="仿宋_GB2312" w:eastAsia="仿宋_GB2312"/>
          <w:sz w:val="32"/>
          <w:szCs w:val="32"/>
          <w:lang w:eastAsia="zh-CN"/>
        </w:rPr>
        <w:t>、浙江</w:t>
      </w:r>
      <w:r>
        <w:rPr>
          <w:rFonts w:hint="eastAsia" w:ascii="仿宋_GB2312" w:eastAsia="仿宋_GB2312"/>
          <w:color w:val="auto"/>
          <w:sz w:val="32"/>
          <w:szCs w:val="32"/>
          <w:lang w:eastAsia="zh-CN"/>
        </w:rPr>
        <w:t>省民营企业经营管理者培训基地、</w:t>
      </w:r>
      <w:r>
        <w:rPr>
          <w:rFonts w:hint="eastAsia" w:ascii="仿宋_GB2312" w:eastAsia="仿宋_GB2312"/>
          <w:sz w:val="32"/>
          <w:szCs w:val="32"/>
        </w:rPr>
        <w:t>何晓霞</w:t>
      </w:r>
      <w:r>
        <w:rPr>
          <w:rFonts w:hint="default" w:ascii="仿宋_GB2312" w:eastAsia="仿宋_GB2312"/>
          <w:sz w:val="32"/>
          <w:szCs w:val="32"/>
        </w:rPr>
        <w:t>刺绣学院</w:t>
      </w:r>
      <w:r>
        <w:rPr>
          <w:rFonts w:hint="eastAsia" w:ascii="仿宋_GB2312" w:eastAsia="仿宋_GB2312"/>
          <w:sz w:val="32"/>
          <w:szCs w:val="32"/>
          <w:lang w:eastAsia="zh-CN"/>
        </w:rPr>
        <w:t>等资源</w:t>
      </w:r>
      <w:r>
        <w:rPr>
          <w:rFonts w:hint="eastAsia" w:ascii="仿宋_GB2312" w:eastAsia="仿宋_GB2312"/>
          <w:sz w:val="32"/>
          <w:szCs w:val="32"/>
        </w:rPr>
        <w:t>，把基地</w:t>
      </w:r>
      <w:r>
        <w:rPr>
          <w:rFonts w:hint="eastAsia" w:ascii="仿宋_GB2312" w:eastAsia="仿宋_GB2312"/>
          <w:sz w:val="32"/>
          <w:szCs w:val="32"/>
          <w:lang w:eastAsia="zh-CN"/>
        </w:rPr>
        <w:t>建设与继续教育</w:t>
      </w:r>
      <w:r>
        <w:rPr>
          <w:rFonts w:hint="eastAsia" w:ascii="仿宋_GB2312" w:eastAsia="仿宋_GB2312"/>
          <w:sz w:val="32"/>
          <w:szCs w:val="32"/>
        </w:rPr>
        <w:t>项目</w:t>
      </w:r>
      <w:r>
        <w:rPr>
          <w:rFonts w:hint="eastAsia" w:ascii="仿宋_GB2312" w:eastAsia="仿宋_GB2312"/>
          <w:sz w:val="32"/>
          <w:szCs w:val="32"/>
          <w:lang w:eastAsia="zh-CN"/>
        </w:rPr>
        <w:t>有机结合，</w:t>
      </w:r>
      <w:r>
        <w:rPr>
          <w:rFonts w:hint="eastAsia" w:ascii="仿宋_GB2312" w:eastAsia="仿宋_GB2312"/>
          <w:sz w:val="32"/>
          <w:szCs w:val="32"/>
        </w:rPr>
        <w:t>办出特色品牌，为区域经济社会发展贡献力量。</w:t>
      </w:r>
    </w:p>
    <w:p>
      <w:pPr>
        <w:pageBreakBefore w:val="0"/>
        <w:kinsoku/>
        <w:wordWrap/>
        <w:overflowPunct/>
        <w:topLinePunct w:val="0"/>
        <w:autoSpaceDE/>
        <w:autoSpaceDN/>
        <w:bidi w:val="0"/>
        <w:adjustRightInd w:val="0"/>
        <w:snapToGrid w:val="0"/>
        <w:spacing w:line="560" w:lineRule="exact"/>
        <w:ind w:firstLine="643" w:firstLineChars="200"/>
        <w:rPr>
          <w:rFonts w:hint="eastAsia"/>
          <w:sz w:val="32"/>
          <w:szCs w:val="32"/>
        </w:rPr>
      </w:pPr>
      <w:r>
        <w:rPr>
          <w:rFonts w:hint="eastAsia" w:ascii="仿宋_GB2312" w:eastAsia="仿宋_GB2312"/>
          <w:b/>
          <w:sz w:val="32"/>
          <w:szCs w:val="32"/>
        </w:rPr>
        <w:t>4.进一步优化内控机制。</w:t>
      </w:r>
      <w:r>
        <w:rPr>
          <w:rFonts w:hint="eastAsia" w:ascii="仿宋_GB2312" w:eastAsia="仿宋_GB2312"/>
          <w:sz w:val="32"/>
          <w:szCs w:val="32"/>
        </w:rPr>
        <w:t>全面推进依法办学，健全内控管理制度，完善内控管理体系。梳理人财物内部工作流程，建立法律顾问制度，加强内控制度学习教育力度，加强信息公开，推进民主管理和民主监督，不断强化内部防控，严防廉政风险，保障继续教育健康良性发展。</w:t>
      </w:r>
    </w:p>
    <w:p>
      <w:pPr>
        <w:pageBreakBefore w:val="0"/>
        <w:kinsoku/>
        <w:wordWrap/>
        <w:overflowPunct/>
        <w:topLinePunct w:val="0"/>
        <w:autoSpaceDE/>
        <w:autoSpaceDN/>
        <w:bidi w:val="0"/>
        <w:adjustRightInd w:val="0"/>
        <w:snapToGrid w:val="0"/>
        <w:spacing w:line="560" w:lineRule="exact"/>
        <w:ind w:firstLine="643" w:firstLineChars="200"/>
        <w:rPr>
          <w:rFonts w:hint="eastAsia" w:ascii="楷体" w:hAnsi="楷体" w:eastAsia="楷体"/>
          <w:b/>
          <w:sz w:val="32"/>
          <w:szCs w:val="32"/>
        </w:rPr>
      </w:pPr>
      <w:r>
        <w:rPr>
          <w:rFonts w:hint="eastAsia" w:ascii="楷体" w:hAnsi="楷体" w:eastAsia="楷体"/>
          <w:b/>
          <w:sz w:val="32"/>
          <w:szCs w:val="32"/>
        </w:rPr>
        <w:t>（三）完善学历教育机制，实现转型升级新目标</w:t>
      </w:r>
    </w:p>
    <w:p>
      <w:pPr>
        <w:pageBreakBefore w:val="0"/>
        <w:kinsoku/>
        <w:wordWrap/>
        <w:overflowPunct/>
        <w:topLinePunct w:val="0"/>
        <w:autoSpaceDE/>
        <w:autoSpaceDN/>
        <w:bidi w:val="0"/>
        <w:adjustRightInd w:val="0"/>
        <w:snapToGrid w:val="0"/>
        <w:spacing w:line="560" w:lineRule="exact"/>
        <w:ind w:firstLine="643" w:firstLineChars="200"/>
        <w:rPr>
          <w:rFonts w:hint="eastAsia" w:ascii="仿宋_GB2312" w:hAnsi="宋体" w:eastAsia="仿宋_GB2312"/>
          <w:sz w:val="32"/>
          <w:szCs w:val="32"/>
        </w:rPr>
      </w:pPr>
      <w:r>
        <w:rPr>
          <w:rFonts w:hint="eastAsia" w:ascii="楷体" w:hAnsi="楷体" w:eastAsia="楷体"/>
          <w:b/>
          <w:sz w:val="32"/>
          <w:szCs w:val="32"/>
        </w:rPr>
        <w:t>1.进一步优化专业结构设计。</w:t>
      </w:r>
      <w:r>
        <w:rPr>
          <w:rFonts w:hint="eastAsia" w:ascii="仿宋_GB2312" w:hAnsi="宋体" w:eastAsia="仿宋_GB2312"/>
          <w:sz w:val="32"/>
          <w:szCs w:val="32"/>
        </w:rPr>
        <w:t>主动适应全国高职扩招和校内专业调整的新形势，以长三角一体化经济社会发展为契机，坚持市场需求导向，发展优势特色专业，不断优化学历教育专业结构。</w:t>
      </w:r>
    </w:p>
    <w:p>
      <w:pPr>
        <w:pageBreakBefore w:val="0"/>
        <w:kinsoku/>
        <w:wordWrap/>
        <w:overflowPunct/>
        <w:topLinePunct w:val="0"/>
        <w:autoSpaceDE/>
        <w:autoSpaceDN/>
        <w:bidi w:val="0"/>
        <w:adjustRightInd w:val="0"/>
        <w:snapToGrid w:val="0"/>
        <w:spacing w:line="560" w:lineRule="exact"/>
        <w:ind w:firstLine="643" w:firstLineChars="200"/>
        <w:rPr>
          <w:rFonts w:hint="eastAsia" w:ascii="仿宋_GB2312" w:hAnsi="宋体" w:eastAsia="仿宋_GB2312"/>
          <w:sz w:val="32"/>
          <w:szCs w:val="32"/>
        </w:rPr>
      </w:pPr>
      <w:r>
        <w:rPr>
          <w:rFonts w:hint="eastAsia" w:ascii="楷体" w:hAnsi="楷体" w:eastAsia="楷体"/>
          <w:b/>
          <w:sz w:val="32"/>
          <w:szCs w:val="32"/>
        </w:rPr>
        <w:t>2.进一步强化函授站点建设。</w:t>
      </w:r>
      <w:r>
        <w:rPr>
          <w:rFonts w:hint="eastAsia" w:ascii="仿宋_GB2312" w:hAnsi="宋体" w:eastAsia="仿宋_GB2312"/>
          <w:sz w:val="32"/>
          <w:szCs w:val="32"/>
        </w:rPr>
        <w:t>进一步加强函授站点的规范管理，调整优化站点布局，选择生源组织能力较强，教学设施较齐、师资力量较好和教学管理规范的函授站点</w:t>
      </w:r>
      <w:r>
        <w:rPr>
          <w:rFonts w:hint="eastAsia" w:ascii="仿宋_GB2312" w:hAnsi="宋体" w:eastAsia="仿宋_GB2312"/>
          <w:sz w:val="32"/>
          <w:szCs w:val="32"/>
          <w:lang w:eastAsia="zh-CN"/>
        </w:rPr>
        <w:t>。</w:t>
      </w:r>
      <w:r>
        <w:rPr>
          <w:rFonts w:hint="eastAsia" w:ascii="仿宋_GB2312" w:hAnsi="宋体" w:eastAsia="仿宋_GB2312"/>
          <w:sz w:val="32"/>
          <w:szCs w:val="32"/>
        </w:rPr>
        <w:t>“十四五”期间，</w:t>
      </w:r>
      <w:r>
        <w:rPr>
          <w:rFonts w:hint="eastAsia" w:ascii="仿宋_GB2312" w:hAnsi="宋体" w:eastAsia="仿宋_GB2312"/>
          <w:sz w:val="32"/>
          <w:szCs w:val="32"/>
          <w:lang w:eastAsia="zh-CN"/>
        </w:rPr>
        <w:t>引进优质的教学管理合作团队，</w:t>
      </w:r>
      <w:r>
        <w:rPr>
          <w:rFonts w:hint="eastAsia" w:ascii="黑体" w:hAnsi="黑体" w:eastAsia="黑体" w:cs="黑体"/>
          <w:sz w:val="32"/>
          <w:szCs w:val="32"/>
        </w:rPr>
        <w:t>着力打造10个优质函授站点</w:t>
      </w:r>
      <w:r>
        <w:rPr>
          <w:rFonts w:hint="eastAsia" w:ascii="仿宋_GB2312" w:hAnsi="宋体" w:eastAsia="仿宋_GB2312"/>
          <w:sz w:val="32"/>
          <w:szCs w:val="32"/>
          <w:lang w:eastAsia="zh-CN"/>
        </w:rPr>
        <w:t>，为学历教育的教学与管理提供强有力的支撑。</w:t>
      </w:r>
    </w:p>
    <w:p>
      <w:pPr>
        <w:pageBreakBefore w:val="0"/>
        <w:kinsoku/>
        <w:wordWrap/>
        <w:overflowPunct/>
        <w:topLinePunct w:val="0"/>
        <w:autoSpaceDE/>
        <w:autoSpaceDN/>
        <w:bidi w:val="0"/>
        <w:adjustRightInd w:val="0"/>
        <w:snapToGrid w:val="0"/>
        <w:spacing w:line="560" w:lineRule="exact"/>
        <w:ind w:firstLine="643" w:firstLineChars="200"/>
        <w:rPr>
          <w:rFonts w:hint="eastAsia" w:ascii="仿宋_GB2312" w:hAnsi="宋体" w:eastAsia="仿宋_GB2312" w:cs="黑体"/>
          <w:sz w:val="32"/>
          <w:szCs w:val="32"/>
        </w:rPr>
      </w:pPr>
      <w:r>
        <w:rPr>
          <w:rFonts w:hint="eastAsia" w:ascii="楷体" w:hAnsi="楷体" w:eastAsia="楷体"/>
          <w:b/>
          <w:sz w:val="32"/>
          <w:szCs w:val="32"/>
        </w:rPr>
        <w:t>3.进一步拓展学历教育领域。</w:t>
      </w:r>
      <w:r>
        <w:rPr>
          <w:rFonts w:hint="eastAsia" w:ascii="仿宋_GB2312" w:hAnsi="宋体" w:eastAsia="仿宋_GB2312" w:cs="黑体"/>
          <w:sz w:val="32"/>
          <w:szCs w:val="32"/>
        </w:rPr>
        <w:t>加强与省内外高校的联系，力争在研究生教育、留学生教育领域实现突破；</w:t>
      </w:r>
      <w:r>
        <w:rPr>
          <w:rFonts w:hint="eastAsia" w:ascii="仿宋_GB2312" w:hAnsi="宋体" w:eastAsia="仿宋_GB2312"/>
          <w:sz w:val="32"/>
          <w:szCs w:val="32"/>
        </w:rPr>
        <w:t>健全学历教育招生工作管理体系，加强与中职院校、成人学校的联系，进一步拓宽生源渠道，“十四五”期间，力争</w:t>
      </w:r>
      <w:r>
        <w:rPr>
          <w:rFonts w:hint="eastAsia" w:ascii="黑体" w:hAnsi="黑体" w:eastAsia="黑体" w:cs="黑体"/>
          <w:sz w:val="32"/>
          <w:szCs w:val="32"/>
        </w:rPr>
        <w:t>建成10个优质生源基地</w:t>
      </w:r>
      <w:r>
        <w:rPr>
          <w:rFonts w:hint="eastAsia" w:ascii="仿宋_GB2312" w:hAnsi="宋体" w:eastAsia="仿宋_GB2312"/>
          <w:sz w:val="32"/>
          <w:szCs w:val="32"/>
        </w:rPr>
        <w:t>，确保生源规模稳定。</w:t>
      </w:r>
    </w:p>
    <w:p>
      <w:pPr>
        <w:pageBreakBefore w:val="0"/>
        <w:kinsoku/>
        <w:wordWrap/>
        <w:overflowPunct/>
        <w:topLinePunct w:val="0"/>
        <w:autoSpaceDE/>
        <w:autoSpaceDN/>
        <w:bidi w:val="0"/>
        <w:adjustRightInd w:val="0"/>
        <w:snapToGrid w:val="0"/>
        <w:spacing w:line="560" w:lineRule="exact"/>
        <w:ind w:firstLine="643" w:firstLineChars="200"/>
        <w:rPr>
          <w:rFonts w:hint="eastAsia" w:ascii="仿宋_GB2312" w:hAnsi="宋体" w:eastAsia="仿宋_GB2312"/>
          <w:sz w:val="32"/>
          <w:szCs w:val="32"/>
        </w:rPr>
      </w:pPr>
      <w:r>
        <w:rPr>
          <w:rFonts w:hint="eastAsia" w:ascii="楷体" w:hAnsi="楷体" w:eastAsia="楷体"/>
          <w:b/>
          <w:sz w:val="32"/>
          <w:szCs w:val="32"/>
        </w:rPr>
        <w:t>4.进一步提升教育教学质量。</w:t>
      </w:r>
      <w:r>
        <w:rPr>
          <w:rFonts w:hint="eastAsia" w:ascii="仿宋_GB2312" w:hAnsi="宋体" w:eastAsia="仿宋_GB2312"/>
          <w:sz w:val="32"/>
          <w:szCs w:val="32"/>
        </w:rPr>
        <w:t>实施成人高等教育质量提升计划，建立网络课程教学平台，优化课程体系，完善教学监控与评价机制，不断推动成人高等教育的改革发展。</w:t>
      </w:r>
    </w:p>
    <w:p>
      <w:pPr>
        <w:pageBreakBefore w:val="0"/>
        <w:kinsoku/>
        <w:wordWrap/>
        <w:overflowPunct/>
        <w:topLinePunct w:val="0"/>
        <w:autoSpaceDE/>
        <w:autoSpaceDN/>
        <w:bidi w:val="0"/>
        <w:adjustRightInd w:val="0"/>
        <w:snapToGrid w:val="0"/>
        <w:spacing w:line="560" w:lineRule="exact"/>
        <w:ind w:firstLine="643" w:firstLineChars="200"/>
        <w:rPr>
          <w:rFonts w:hint="eastAsia" w:ascii="楷体" w:hAnsi="楷体" w:eastAsia="楷体" w:cs="黑体"/>
          <w:b/>
          <w:sz w:val="32"/>
          <w:szCs w:val="32"/>
        </w:rPr>
      </w:pPr>
      <w:r>
        <w:rPr>
          <w:rFonts w:hint="eastAsia" w:ascii="楷体" w:hAnsi="楷体" w:eastAsia="楷体" w:cs="黑体"/>
          <w:b/>
          <w:sz w:val="32"/>
          <w:szCs w:val="32"/>
        </w:rPr>
        <w:t>（四）拓展社会培训资源，担当服务地方新使命</w:t>
      </w:r>
    </w:p>
    <w:p>
      <w:pPr>
        <w:pageBreakBefore w:val="0"/>
        <w:kinsoku/>
        <w:wordWrap/>
        <w:overflowPunct/>
        <w:topLinePunct w:val="0"/>
        <w:autoSpaceDE/>
        <w:autoSpaceDN/>
        <w:bidi w:val="0"/>
        <w:adjustRightInd w:val="0"/>
        <w:snapToGrid w:val="0"/>
        <w:spacing w:line="560" w:lineRule="exact"/>
        <w:ind w:firstLine="643" w:firstLineChars="200"/>
        <w:rPr>
          <w:rFonts w:hint="eastAsia" w:ascii="仿宋_GB2312" w:hAnsi="宋体" w:eastAsia="仿宋_GB2312"/>
          <w:sz w:val="32"/>
          <w:szCs w:val="32"/>
        </w:rPr>
      </w:pPr>
      <w:r>
        <w:rPr>
          <w:rFonts w:hint="eastAsia" w:ascii="楷体" w:hAnsi="楷体" w:eastAsia="楷体"/>
          <w:b/>
          <w:sz w:val="32"/>
          <w:szCs w:val="32"/>
        </w:rPr>
        <w:t>1.搭建干部教育培训平台。</w:t>
      </w:r>
      <w:r>
        <w:rPr>
          <w:rFonts w:hint="eastAsia" w:ascii="仿宋_GB2312" w:hAnsi="宋体" w:eastAsia="仿宋_GB2312"/>
          <w:sz w:val="32"/>
          <w:szCs w:val="32"/>
        </w:rPr>
        <w:t>发挥省新型高校智库“两山”理念研究院的优势，整合全校优质资源，成立“两山”理念研究院培训中心，加强与地方党校的合作共建，建设服务地方优质师资库，力争</w:t>
      </w:r>
      <w:r>
        <w:rPr>
          <w:rFonts w:hint="eastAsia" w:ascii="黑体" w:hAnsi="黑体" w:eastAsia="黑体" w:cs="黑体"/>
          <w:sz w:val="32"/>
          <w:szCs w:val="32"/>
        </w:rPr>
        <w:t>构建10个名师工作团队</w:t>
      </w:r>
      <w:r>
        <w:rPr>
          <w:rFonts w:hint="eastAsia" w:ascii="仿宋_GB2312" w:hAnsi="宋体" w:eastAsia="仿宋_GB2312"/>
          <w:sz w:val="32"/>
          <w:szCs w:val="32"/>
        </w:rPr>
        <w:t>、</w:t>
      </w:r>
      <w:r>
        <w:rPr>
          <w:rFonts w:hint="eastAsia" w:ascii="黑体" w:hAnsi="黑体" w:eastAsia="黑体" w:cs="黑体"/>
          <w:sz w:val="32"/>
          <w:szCs w:val="32"/>
        </w:rPr>
        <w:t>建成10个现场教学点</w:t>
      </w:r>
      <w:r>
        <w:rPr>
          <w:rFonts w:hint="eastAsia" w:ascii="仿宋_GB2312" w:hAnsi="宋体" w:eastAsia="仿宋_GB2312"/>
          <w:sz w:val="32"/>
          <w:szCs w:val="32"/>
        </w:rPr>
        <w:t>、</w:t>
      </w:r>
      <w:r>
        <w:rPr>
          <w:rFonts w:hint="eastAsia" w:ascii="黑体" w:hAnsi="黑体" w:eastAsia="黑体" w:cs="黑体"/>
          <w:sz w:val="32"/>
          <w:szCs w:val="32"/>
        </w:rPr>
        <w:t>形成10门金牌培训课程</w:t>
      </w:r>
      <w:r>
        <w:rPr>
          <w:rFonts w:hint="eastAsia" w:ascii="仿宋_GB2312" w:hAnsi="宋体" w:eastAsia="仿宋_GB2312"/>
          <w:sz w:val="32"/>
          <w:szCs w:val="32"/>
        </w:rPr>
        <w:t>、</w:t>
      </w:r>
      <w:r>
        <w:rPr>
          <w:rFonts w:hint="eastAsia" w:ascii="黑体" w:hAnsi="黑体" w:eastAsia="黑体" w:cs="黑体"/>
          <w:sz w:val="32"/>
          <w:szCs w:val="32"/>
        </w:rPr>
        <w:t>10条精品培训线路</w:t>
      </w:r>
      <w:r>
        <w:rPr>
          <w:rFonts w:hint="eastAsia" w:ascii="仿宋_GB2312" w:hAnsi="宋体" w:eastAsia="仿宋_GB2312"/>
          <w:sz w:val="32"/>
          <w:szCs w:val="32"/>
        </w:rPr>
        <w:t>、</w:t>
      </w:r>
      <w:r>
        <w:rPr>
          <w:rFonts w:hint="eastAsia" w:ascii="黑体" w:hAnsi="黑体" w:eastAsia="黑体" w:cs="黑体"/>
          <w:sz w:val="32"/>
          <w:szCs w:val="32"/>
        </w:rPr>
        <w:t>培育10个优质培训品牌项目</w:t>
      </w:r>
      <w:r>
        <w:rPr>
          <w:rFonts w:hint="eastAsia" w:ascii="仿宋_GB2312" w:hAnsi="宋体" w:eastAsia="仿宋_GB2312"/>
          <w:sz w:val="32"/>
          <w:szCs w:val="32"/>
        </w:rPr>
        <w:t>，在党员教育培训上取得实质性进展。</w:t>
      </w:r>
    </w:p>
    <w:p>
      <w:pPr>
        <w:pageBreakBefore w:val="0"/>
        <w:kinsoku/>
        <w:wordWrap/>
        <w:overflowPunct/>
        <w:topLinePunct w:val="0"/>
        <w:autoSpaceDE/>
        <w:autoSpaceDN/>
        <w:bidi w:val="0"/>
        <w:adjustRightInd w:val="0"/>
        <w:snapToGrid w:val="0"/>
        <w:spacing w:line="560" w:lineRule="exact"/>
        <w:ind w:firstLine="643" w:firstLineChars="200"/>
        <w:rPr>
          <w:rFonts w:hint="eastAsia" w:ascii="仿宋_GB2312" w:hAnsi="宋体" w:eastAsia="仿宋_GB2312"/>
          <w:b/>
          <w:sz w:val="32"/>
          <w:szCs w:val="32"/>
        </w:rPr>
      </w:pPr>
      <w:r>
        <w:rPr>
          <w:rFonts w:hint="eastAsia" w:ascii="楷体" w:hAnsi="楷体" w:eastAsia="楷体"/>
          <w:b/>
          <w:sz w:val="32"/>
          <w:szCs w:val="32"/>
        </w:rPr>
        <w:t>2.拓展师资教育培训领域。</w:t>
      </w:r>
      <w:r>
        <w:rPr>
          <w:rFonts w:hint="eastAsia" w:ascii="仿宋_GB2312" w:hAnsi="宋体" w:eastAsia="仿宋_GB2312"/>
          <w:sz w:val="32"/>
          <w:szCs w:val="32"/>
        </w:rPr>
        <w:t>主动加强与省内外国家级教师专业化培训平台的联系，争取实现联合共建，提升师资培训层次；打造一批品牌化师资培训项目，立足湖州辐射全省，不断扩大培训影响力。</w:t>
      </w:r>
    </w:p>
    <w:p>
      <w:pPr>
        <w:pageBreakBefore w:val="0"/>
        <w:kinsoku/>
        <w:wordWrap/>
        <w:overflowPunct/>
        <w:topLinePunct w:val="0"/>
        <w:autoSpaceDE/>
        <w:autoSpaceDN/>
        <w:bidi w:val="0"/>
        <w:adjustRightInd w:val="0"/>
        <w:snapToGrid w:val="0"/>
        <w:spacing w:line="560" w:lineRule="exact"/>
        <w:ind w:firstLine="643" w:firstLineChars="200"/>
        <w:rPr>
          <w:rFonts w:hint="eastAsia" w:ascii="仿宋_GB2312" w:hAnsi="宋体" w:eastAsia="仿宋_GB2312"/>
          <w:sz w:val="32"/>
          <w:szCs w:val="32"/>
        </w:rPr>
      </w:pPr>
      <w:r>
        <w:rPr>
          <w:rFonts w:hint="eastAsia" w:ascii="楷体" w:hAnsi="楷体" w:eastAsia="楷体"/>
          <w:b/>
          <w:sz w:val="32"/>
          <w:szCs w:val="32"/>
        </w:rPr>
        <w:t>3.建立素质教育培训基地。</w:t>
      </w:r>
      <w:r>
        <w:rPr>
          <w:rFonts w:hint="eastAsia" w:ascii="仿宋_GB2312" w:hAnsi="宋体" w:eastAsia="仿宋_GB2312"/>
          <w:sz w:val="32"/>
          <w:szCs w:val="32"/>
        </w:rPr>
        <w:t>进一步加强与地方教育部门的联系，建立中小学素质拓展基地；依托市场机构，实现资源共享，探索联合办学机制，推出中小学素质培训、</w:t>
      </w:r>
      <w:r>
        <w:rPr>
          <w:rFonts w:hint="eastAsia" w:ascii="仿宋_GB2312" w:hAnsi="宋体" w:eastAsia="仿宋_GB2312"/>
          <w:sz w:val="32"/>
          <w:szCs w:val="32"/>
          <w:lang w:eastAsia="zh-CN"/>
        </w:rPr>
        <w:t>职业体验、</w:t>
      </w:r>
      <w:r>
        <w:rPr>
          <w:rFonts w:hint="eastAsia" w:ascii="仿宋_GB2312" w:hAnsi="宋体" w:eastAsia="仿宋_GB2312"/>
          <w:sz w:val="32"/>
          <w:szCs w:val="32"/>
        </w:rPr>
        <w:t>人防安全教育等项目。</w:t>
      </w:r>
    </w:p>
    <w:p>
      <w:pPr>
        <w:pageBreakBefore w:val="0"/>
        <w:kinsoku/>
        <w:wordWrap/>
        <w:overflowPunct/>
        <w:topLinePunct w:val="0"/>
        <w:autoSpaceDE/>
        <w:autoSpaceDN/>
        <w:bidi w:val="0"/>
        <w:adjustRightInd w:val="0"/>
        <w:snapToGrid w:val="0"/>
        <w:spacing w:line="560" w:lineRule="exact"/>
        <w:ind w:firstLine="643" w:firstLineChars="200"/>
        <w:rPr>
          <w:rFonts w:hint="eastAsia" w:ascii="仿宋_GB2312" w:hAnsi="宋体" w:eastAsia="仿宋_GB2312"/>
          <w:b/>
          <w:sz w:val="32"/>
          <w:szCs w:val="32"/>
        </w:rPr>
      </w:pPr>
      <w:r>
        <w:rPr>
          <w:rFonts w:hint="eastAsia" w:ascii="楷体" w:hAnsi="楷体" w:eastAsia="楷体"/>
          <w:b/>
          <w:sz w:val="32"/>
          <w:szCs w:val="32"/>
        </w:rPr>
        <w:t>4.构建内外培训循环体系。</w:t>
      </w:r>
      <w:r>
        <w:rPr>
          <w:rFonts w:hint="eastAsia" w:ascii="仿宋_GB2312" w:hAnsi="宋体" w:eastAsia="仿宋_GB2312"/>
          <w:sz w:val="32"/>
          <w:szCs w:val="32"/>
        </w:rPr>
        <w:t>围绕学生成长成才，协同校内相关职能部门，充分调动各二级学院的积极性与主动性，加强对校内大学生各类技能与资格类证书的培训组织、考试与鉴定等工作；立足服务地方使命，加强与人社、民政、妇联和退役军人事务局等管理部门的对接，形成培训服务互动机制，全力构建校内、校外培训循环体系。</w:t>
      </w:r>
    </w:p>
    <w:p>
      <w:pPr>
        <w:pageBreakBefore w:val="0"/>
        <w:kinsoku/>
        <w:wordWrap/>
        <w:overflowPunct/>
        <w:topLinePunct w:val="0"/>
        <w:autoSpaceDE/>
        <w:autoSpaceDN/>
        <w:bidi w:val="0"/>
        <w:adjustRightInd w:val="0"/>
        <w:snapToGrid w:val="0"/>
        <w:spacing w:line="560" w:lineRule="exact"/>
        <w:ind w:firstLine="627" w:firstLineChars="196"/>
        <w:rPr>
          <w:rFonts w:hint="eastAsia" w:ascii="黑体" w:hAnsi="黑体" w:eastAsia="黑体" w:cs="黑体"/>
          <w:b w:val="0"/>
          <w:bCs/>
          <w:sz w:val="32"/>
          <w:szCs w:val="32"/>
        </w:rPr>
      </w:pPr>
      <w:r>
        <w:rPr>
          <w:rFonts w:hint="eastAsia" w:ascii="黑体" w:hAnsi="黑体" w:eastAsia="黑体" w:cs="黑体"/>
          <w:b w:val="0"/>
          <w:bCs/>
          <w:sz w:val="32"/>
          <w:szCs w:val="32"/>
        </w:rPr>
        <w:t xml:space="preserve">四、实施条件与保障措施 </w:t>
      </w:r>
    </w:p>
    <w:p>
      <w:pPr>
        <w:pageBreakBefore w:val="0"/>
        <w:kinsoku/>
        <w:wordWrap/>
        <w:overflowPunct/>
        <w:topLinePunct w:val="0"/>
        <w:autoSpaceDE/>
        <w:autoSpaceDN/>
        <w:bidi w:val="0"/>
        <w:adjustRightInd w:val="0"/>
        <w:snapToGrid w:val="0"/>
        <w:spacing w:line="560" w:lineRule="exact"/>
        <w:ind w:firstLine="630" w:firstLineChars="196"/>
        <w:rPr>
          <w:rFonts w:hint="eastAsia" w:ascii="楷体" w:hAnsi="楷体" w:eastAsia="楷体" w:cs="黑体"/>
          <w:b/>
          <w:sz w:val="32"/>
          <w:szCs w:val="32"/>
        </w:rPr>
      </w:pPr>
      <w:r>
        <w:rPr>
          <w:rFonts w:hint="eastAsia" w:ascii="楷体" w:hAnsi="楷体" w:eastAsia="楷体" w:cs="黑体"/>
          <w:b/>
          <w:sz w:val="32"/>
          <w:szCs w:val="32"/>
        </w:rPr>
        <w:t>（一）制度保障</w:t>
      </w:r>
    </w:p>
    <w:p>
      <w:pPr>
        <w:pageBreakBefore w:val="0"/>
        <w:kinsoku/>
        <w:wordWrap/>
        <w:overflowPunct/>
        <w:topLinePunct w:val="0"/>
        <w:autoSpaceDE/>
        <w:autoSpaceDN/>
        <w:bidi w:val="0"/>
        <w:adjustRightInd w:val="0"/>
        <w:snapToGrid w:val="0"/>
        <w:spacing w:line="560" w:lineRule="exact"/>
        <w:ind w:firstLine="627" w:firstLineChars="196"/>
        <w:rPr>
          <w:rFonts w:hint="eastAsia" w:ascii="仿宋_GB2312" w:hAnsi="宋体" w:eastAsia="仿宋_GB2312"/>
          <w:sz w:val="32"/>
          <w:szCs w:val="32"/>
        </w:rPr>
      </w:pPr>
      <w:r>
        <w:rPr>
          <w:rFonts w:hint="eastAsia" w:ascii="仿宋_GB2312" w:hAnsi="宋体" w:eastAsia="仿宋_GB2312"/>
          <w:sz w:val="32"/>
          <w:szCs w:val="32"/>
        </w:rPr>
        <w:t>建立和完善适应继续教育规律与市场经济发展需要的管理机制，优化继续教育发展软环境。采取全面的“项目负责制”，发挥市场导向作用，改革分配制度、人员聘用机制、财务管理机制、激励创新机制、质量保障机制等，调动继续教育工作的积极性。完善内控管理体系，建立法律顾问制度，加强信息公开，推进民主管理和民主监督，提升学校继续教育管理的法治化和科学化水平。</w:t>
      </w:r>
    </w:p>
    <w:p>
      <w:pPr>
        <w:pageBreakBefore w:val="0"/>
        <w:kinsoku/>
        <w:wordWrap/>
        <w:overflowPunct/>
        <w:topLinePunct w:val="0"/>
        <w:autoSpaceDE/>
        <w:autoSpaceDN/>
        <w:bidi w:val="0"/>
        <w:adjustRightInd w:val="0"/>
        <w:snapToGrid w:val="0"/>
        <w:spacing w:line="560" w:lineRule="exact"/>
        <w:ind w:firstLine="630" w:firstLineChars="196"/>
        <w:rPr>
          <w:rFonts w:hint="eastAsia" w:ascii="楷体" w:hAnsi="楷体" w:eastAsia="楷体" w:cs="黑体"/>
          <w:b/>
          <w:sz w:val="32"/>
          <w:szCs w:val="32"/>
        </w:rPr>
      </w:pPr>
      <w:r>
        <w:rPr>
          <w:rFonts w:hint="eastAsia" w:ascii="楷体" w:hAnsi="楷体" w:eastAsia="楷体" w:cs="黑体"/>
          <w:b/>
          <w:sz w:val="32"/>
          <w:szCs w:val="32"/>
        </w:rPr>
        <w:t>（二）队伍保障</w:t>
      </w:r>
    </w:p>
    <w:p>
      <w:pPr>
        <w:pageBreakBefore w:val="0"/>
        <w:kinsoku/>
        <w:wordWrap/>
        <w:overflowPunct/>
        <w:topLinePunct w:val="0"/>
        <w:autoSpaceDE/>
        <w:autoSpaceDN/>
        <w:bidi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加强党员干部队伍建设，不断提升领导班子办学治校能力和干部队伍能力素质。优化教工考核评价体系，通过制度创新、竞聘上岗和以岗定薪等配套改革手段，充分调动管理人员的积极性和创造性。加强教育培训，转变工作作风，强化责任意识，形成一支高效、精干、热情服务、机构合理的高素质管理队伍，为学院又好又快发展提供强有力的人才支撑和组织保证。</w:t>
      </w:r>
    </w:p>
    <w:p>
      <w:pPr>
        <w:pageBreakBefore w:val="0"/>
        <w:kinsoku/>
        <w:wordWrap/>
        <w:overflowPunct/>
        <w:topLinePunct w:val="0"/>
        <w:autoSpaceDE/>
        <w:autoSpaceDN/>
        <w:bidi w:val="0"/>
        <w:adjustRightInd w:val="0"/>
        <w:snapToGrid w:val="0"/>
        <w:spacing w:line="560" w:lineRule="exact"/>
        <w:ind w:firstLine="630" w:firstLineChars="196"/>
        <w:rPr>
          <w:rFonts w:hint="eastAsia" w:ascii="楷体" w:hAnsi="楷体" w:eastAsia="楷体" w:cs="黑体"/>
          <w:b/>
          <w:sz w:val="32"/>
          <w:szCs w:val="32"/>
        </w:rPr>
      </w:pPr>
      <w:r>
        <w:rPr>
          <w:rFonts w:hint="eastAsia" w:ascii="楷体" w:hAnsi="楷体" w:eastAsia="楷体" w:cs="黑体"/>
          <w:b/>
          <w:sz w:val="32"/>
          <w:szCs w:val="32"/>
        </w:rPr>
        <w:t>（三）资源保障</w:t>
      </w:r>
    </w:p>
    <w:p>
      <w:pPr>
        <w:pageBreakBefore w:val="0"/>
        <w:kinsoku/>
        <w:wordWrap/>
        <w:overflowPunct/>
        <w:topLinePunct w:val="0"/>
        <w:autoSpaceDE/>
        <w:autoSpaceDN/>
        <w:bidi w:val="0"/>
        <w:adjustRightInd w:val="0"/>
        <w:snapToGrid w:val="0"/>
        <w:spacing w:line="560" w:lineRule="exact"/>
        <w:ind w:firstLine="627" w:firstLineChars="196"/>
        <w:rPr>
          <w:rFonts w:hint="eastAsia" w:ascii="仿宋_GB2312" w:hAnsi="宋体" w:eastAsia="仿宋_GB2312"/>
          <w:iCs/>
          <w:sz w:val="32"/>
          <w:szCs w:val="32"/>
        </w:rPr>
      </w:pPr>
      <w:r>
        <w:rPr>
          <w:rFonts w:hint="eastAsia" w:ascii="仿宋_GB2312" w:hAnsi="宋体" w:eastAsia="仿宋_GB2312"/>
          <w:iCs/>
          <w:sz w:val="32"/>
          <w:szCs w:val="32"/>
        </w:rPr>
        <w:t>树立“大继续教育”发展理念，优化整合校内教育教学、高端人才、智库平台等资源，构建全校整体协同、资源共享的继续教育发展新格局。加强与地方政府和企事业单位合作，</w:t>
      </w:r>
      <w:r>
        <w:rPr>
          <w:rFonts w:hint="eastAsia" w:ascii="仿宋_GB2312" w:hAnsi="宋体" w:eastAsia="仿宋_GB2312"/>
          <w:sz w:val="32"/>
          <w:szCs w:val="32"/>
        </w:rPr>
        <w:t>探索优势互补、资源共享、互利共赢的共建模式，为继续教育的高质量发展提供充足的资源保障。</w:t>
      </w:r>
    </w:p>
    <w:p>
      <w:pPr>
        <w:pageBreakBefore w:val="0"/>
        <w:kinsoku/>
        <w:wordWrap/>
        <w:overflowPunct/>
        <w:topLinePunct w:val="0"/>
        <w:autoSpaceDE/>
        <w:autoSpaceDN/>
        <w:bidi w:val="0"/>
        <w:adjustRightInd w:val="0"/>
        <w:snapToGrid w:val="0"/>
        <w:spacing w:line="560" w:lineRule="exact"/>
        <w:ind w:firstLine="630" w:firstLineChars="196"/>
        <w:rPr>
          <w:rFonts w:hint="eastAsia" w:ascii="楷体" w:hAnsi="楷体" w:eastAsia="楷体" w:cs="黑体"/>
          <w:b/>
          <w:sz w:val="32"/>
          <w:szCs w:val="32"/>
        </w:rPr>
      </w:pPr>
      <w:r>
        <w:rPr>
          <w:rFonts w:hint="eastAsia" w:ascii="楷体" w:hAnsi="楷体" w:eastAsia="楷体" w:cs="黑体"/>
          <w:b/>
          <w:sz w:val="32"/>
          <w:szCs w:val="32"/>
        </w:rPr>
        <w:t>（四）条件保障</w:t>
      </w:r>
    </w:p>
    <w:p>
      <w:pPr>
        <w:pageBreakBefore w:val="0"/>
        <w:kinsoku/>
        <w:wordWrap/>
        <w:overflowPunct/>
        <w:topLinePunct w:val="0"/>
        <w:autoSpaceDE/>
        <w:autoSpaceDN/>
        <w:bidi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加大继续教育工作</w:t>
      </w:r>
      <w:r>
        <w:rPr>
          <w:rFonts w:hint="eastAsia" w:ascii="仿宋_GB2312" w:hAnsi="宋体" w:eastAsia="仿宋_GB2312"/>
          <w:sz w:val="32"/>
          <w:szCs w:val="32"/>
          <w:shd w:val="clear" w:color="auto" w:fill="FFFFFF"/>
        </w:rPr>
        <w:t>软硬件投入，改善办公条件，保障并改造培训教学场地、食宿条件及配套设施，</w:t>
      </w:r>
      <w:r>
        <w:rPr>
          <w:rFonts w:hint="eastAsia" w:ascii="仿宋_GB2312" w:hAnsi="宋体" w:eastAsia="仿宋_GB2312"/>
          <w:iCs/>
          <w:sz w:val="32"/>
          <w:szCs w:val="32"/>
        </w:rPr>
        <w:t>同时</w:t>
      </w:r>
      <w:r>
        <w:rPr>
          <w:rFonts w:hint="eastAsia" w:ascii="仿宋_GB2312" w:hAnsi="宋体" w:eastAsia="仿宋_GB2312"/>
          <w:iCs/>
          <w:sz w:val="32"/>
          <w:szCs w:val="32"/>
          <w:lang w:eastAsia="zh-CN"/>
        </w:rPr>
        <w:t>加强</w:t>
      </w:r>
      <w:r>
        <w:rPr>
          <w:rFonts w:hint="eastAsia" w:ascii="仿宋_GB2312" w:hAnsi="宋体" w:eastAsia="仿宋_GB2312"/>
          <w:iCs/>
          <w:sz w:val="32"/>
          <w:szCs w:val="32"/>
        </w:rPr>
        <w:t>政策、资金</w:t>
      </w:r>
      <w:r>
        <w:rPr>
          <w:rFonts w:hint="eastAsia" w:ascii="仿宋_GB2312" w:hAnsi="宋体" w:eastAsia="仿宋_GB2312"/>
          <w:iCs/>
          <w:sz w:val="32"/>
          <w:szCs w:val="32"/>
          <w:lang w:eastAsia="zh-CN"/>
        </w:rPr>
        <w:t>的</w:t>
      </w:r>
      <w:r>
        <w:rPr>
          <w:rFonts w:hint="eastAsia" w:ascii="仿宋_GB2312" w:hAnsi="宋体" w:eastAsia="仿宋_GB2312"/>
          <w:iCs/>
          <w:sz w:val="32"/>
          <w:szCs w:val="32"/>
        </w:rPr>
        <w:t>支持</w:t>
      </w:r>
      <w:r>
        <w:rPr>
          <w:rFonts w:hint="eastAsia" w:ascii="仿宋_GB2312" w:hAnsi="宋体" w:eastAsia="仿宋_GB2312"/>
          <w:iCs/>
          <w:sz w:val="32"/>
          <w:szCs w:val="32"/>
          <w:lang w:eastAsia="zh-CN"/>
        </w:rPr>
        <w:t>力度，</w:t>
      </w:r>
      <w:r>
        <w:rPr>
          <w:rFonts w:hint="eastAsia" w:ascii="仿宋_GB2312" w:hAnsi="宋体" w:eastAsia="仿宋_GB2312"/>
          <w:iCs/>
          <w:sz w:val="32"/>
          <w:szCs w:val="32"/>
        </w:rPr>
        <w:t>通过利用社会资源来弥补场地等资源不足，不断满足市场化发展需要，努力打造现代化的继续教育保障体系。</w:t>
      </w:r>
    </w:p>
    <w:p>
      <w:pPr>
        <w:pageBreakBefore w:val="0"/>
        <w:kinsoku/>
        <w:wordWrap/>
        <w:overflowPunct/>
        <w:topLinePunct w:val="0"/>
        <w:autoSpaceDE/>
        <w:autoSpaceDN/>
        <w:bidi w:val="0"/>
        <w:adjustRightInd w:val="0"/>
        <w:snapToGrid w:val="0"/>
        <w:spacing w:line="560" w:lineRule="exact"/>
        <w:ind w:firstLine="640" w:firstLineChars="200"/>
        <w:rPr>
          <w:rFonts w:hint="eastAsia" w:ascii="仿宋_GB2312" w:hAnsi="宋体" w:eastAsia="仿宋_GB2312"/>
          <w:sz w:val="32"/>
          <w:szCs w:val="32"/>
          <w:lang w:val="en-US" w:eastAsia="zh-CN"/>
        </w:rPr>
      </w:pPr>
      <w:r>
        <w:rPr>
          <w:rFonts w:hint="eastAsia" w:ascii="仿宋_GB2312" w:hAnsi="宋体" w:eastAsia="仿宋_GB2312"/>
          <w:sz w:val="32"/>
          <w:szCs w:val="32"/>
        </w:rPr>
        <w:t xml:space="preserve">                      </w:t>
      </w:r>
      <w:r>
        <w:rPr>
          <w:rFonts w:hint="eastAsia" w:ascii="仿宋_GB2312" w:hAnsi="宋体" w:eastAsia="仿宋_GB2312"/>
          <w:sz w:val="32"/>
          <w:szCs w:val="32"/>
          <w:lang w:val="en-US" w:eastAsia="zh-CN"/>
        </w:rPr>
        <w:t xml:space="preserve"> </w:t>
      </w:r>
    </w:p>
    <w:p>
      <w:pPr>
        <w:pageBreakBefore w:val="0"/>
        <w:kinsoku/>
        <w:wordWrap/>
        <w:overflowPunct/>
        <w:topLinePunct w:val="0"/>
        <w:autoSpaceDE/>
        <w:autoSpaceDN/>
        <w:bidi w:val="0"/>
        <w:adjustRightInd w:val="0"/>
        <w:snapToGrid w:val="0"/>
        <w:spacing w:line="560" w:lineRule="exact"/>
        <w:ind w:firstLine="640" w:firstLineChars="200"/>
        <w:rPr>
          <w:rFonts w:hint="eastAsia" w:ascii="仿宋_GB2312" w:hAnsi="宋体" w:eastAsia="仿宋_GB2312"/>
          <w:sz w:val="32"/>
          <w:szCs w:val="32"/>
          <w:lang w:val="en-US" w:eastAsia="zh-CN"/>
        </w:rPr>
      </w:pPr>
    </w:p>
    <w:p>
      <w:pPr>
        <w:pageBreakBefore w:val="0"/>
        <w:kinsoku/>
        <w:wordWrap/>
        <w:overflowPunct/>
        <w:topLinePunct w:val="0"/>
        <w:autoSpaceDE/>
        <w:autoSpaceDN/>
        <w:bidi w:val="0"/>
        <w:adjustRightInd w:val="0"/>
        <w:snapToGrid w:val="0"/>
        <w:spacing w:line="560" w:lineRule="exact"/>
        <w:ind w:firstLine="640" w:firstLineChars="200"/>
        <w:rPr>
          <w:rFonts w:hint="eastAsia" w:ascii="仿宋_GB2312" w:hAnsi="宋体" w:eastAsia="仿宋_GB2312"/>
          <w:sz w:val="32"/>
          <w:szCs w:val="32"/>
          <w:lang w:val="en-US" w:eastAsia="zh-CN"/>
        </w:rPr>
      </w:pPr>
    </w:p>
    <w:p>
      <w:pPr>
        <w:pageBreakBefore w:val="0"/>
        <w:kinsoku/>
        <w:wordWrap/>
        <w:overflowPunct/>
        <w:topLinePunct w:val="0"/>
        <w:autoSpaceDE/>
        <w:autoSpaceDN/>
        <w:bidi w:val="0"/>
        <w:adjustRightInd w:val="0"/>
        <w:snapToGrid w:val="0"/>
        <w:spacing w:line="560" w:lineRule="exact"/>
        <w:ind w:firstLine="4480" w:firstLineChars="1400"/>
        <w:rPr>
          <w:rFonts w:hint="eastAsia" w:ascii="仿宋_GB2312" w:hAnsi="宋体" w:eastAsia="仿宋_GB2312"/>
          <w:sz w:val="32"/>
          <w:szCs w:val="32"/>
        </w:rPr>
      </w:pPr>
      <w:r>
        <w:rPr>
          <w:rFonts w:hint="eastAsia" w:ascii="仿宋_GB2312" w:hAnsi="宋体" w:eastAsia="仿宋_GB2312"/>
          <w:sz w:val="32"/>
          <w:szCs w:val="32"/>
          <w:lang w:val="en-US" w:eastAsia="zh-CN"/>
        </w:rPr>
        <w:t>湖州师范学院</w:t>
      </w:r>
      <w:r>
        <w:rPr>
          <w:rFonts w:hint="eastAsia" w:ascii="仿宋_GB2312" w:hAnsi="宋体" w:eastAsia="仿宋_GB2312"/>
          <w:sz w:val="32"/>
          <w:szCs w:val="32"/>
        </w:rPr>
        <w:t>继续教育学院</w:t>
      </w:r>
    </w:p>
    <w:p>
      <w:pPr>
        <w:pageBreakBefore w:val="0"/>
        <w:kinsoku/>
        <w:wordWrap/>
        <w:overflowPunct/>
        <w:topLinePunct w:val="0"/>
        <w:autoSpaceDE/>
        <w:autoSpaceDN/>
        <w:bidi w:val="0"/>
        <w:adjustRightInd w:val="0"/>
        <w:snapToGrid w:val="0"/>
        <w:spacing w:line="560" w:lineRule="exact"/>
        <w:ind w:firstLine="640" w:firstLineChars="200"/>
        <w:rPr>
          <w:rFonts w:hint="default" w:ascii="仿宋_GB2312" w:hAnsi="宋体" w:eastAsia="仿宋_GB2312"/>
          <w:sz w:val="32"/>
          <w:szCs w:val="32"/>
          <w:lang w:val="en-US" w:eastAsia="zh-CN"/>
        </w:rPr>
      </w:pPr>
      <w:r>
        <w:rPr>
          <w:rFonts w:hint="eastAsia" w:ascii="仿宋_GB2312" w:hAnsi="宋体" w:eastAsia="仿宋_GB2312"/>
          <w:sz w:val="32"/>
          <w:szCs w:val="32"/>
        </w:rPr>
        <w:t xml:space="preserve">                            2021</w:t>
      </w:r>
      <w:r>
        <w:rPr>
          <w:rFonts w:hint="eastAsia" w:ascii="仿宋_GB2312" w:hAnsi="宋体" w:eastAsia="仿宋_GB2312"/>
          <w:sz w:val="32"/>
          <w:szCs w:val="32"/>
          <w:lang w:eastAsia="zh-CN"/>
        </w:rPr>
        <w:t>年</w:t>
      </w:r>
      <w:r>
        <w:rPr>
          <w:rFonts w:hint="eastAsia" w:ascii="仿宋_GB2312" w:hAnsi="宋体" w:eastAsia="仿宋_GB2312"/>
          <w:sz w:val="32"/>
          <w:szCs w:val="32"/>
        </w:rPr>
        <w:t>4</w:t>
      </w:r>
      <w:r>
        <w:rPr>
          <w:rFonts w:hint="eastAsia" w:ascii="仿宋_GB2312" w:hAnsi="宋体" w:eastAsia="仿宋_GB2312"/>
          <w:sz w:val="32"/>
          <w:szCs w:val="32"/>
          <w:lang w:eastAsia="zh-CN"/>
        </w:rPr>
        <w:t>月</w:t>
      </w:r>
      <w:r>
        <w:rPr>
          <w:rFonts w:hint="eastAsia" w:ascii="仿宋_GB2312" w:hAnsi="宋体" w:eastAsia="仿宋_GB2312"/>
          <w:sz w:val="32"/>
          <w:szCs w:val="32"/>
        </w:rPr>
        <w:t>21</w:t>
      </w:r>
      <w:r>
        <w:rPr>
          <w:rFonts w:hint="eastAsia" w:ascii="仿宋_GB2312" w:hAnsi="宋体" w:eastAsia="仿宋_GB2312"/>
          <w:sz w:val="32"/>
          <w:szCs w:val="32"/>
          <w:lang w:eastAsia="zh-CN"/>
        </w:rPr>
        <w:t>日</w:t>
      </w:r>
      <w:r>
        <w:rPr>
          <w:rFonts w:hint="eastAsia" w:ascii="仿宋_GB2312" w:hAnsi="宋体" w:eastAsia="仿宋_GB2312"/>
          <w:sz w:val="32"/>
          <w:szCs w:val="32"/>
          <w:lang w:val="en-US" w:eastAsia="zh-CN"/>
        </w:rPr>
        <w:t xml:space="preserve"> </w:t>
      </w:r>
    </w:p>
    <w:p>
      <w:pPr>
        <w:keepNext w:val="0"/>
        <w:keepLines w:val="0"/>
        <w:pageBreakBefore w:val="0"/>
        <w:kinsoku/>
        <w:wordWrap/>
        <w:overflowPunct/>
        <w:topLinePunct w:val="0"/>
        <w:autoSpaceDE/>
        <w:autoSpaceDN/>
        <w:bidi w:val="0"/>
        <w:adjustRightInd/>
        <w:spacing w:line="560" w:lineRule="exact"/>
        <w:ind w:firstLine="640" w:firstLineChars="200"/>
        <w:contextualSpacing/>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pacing w:line="560" w:lineRule="exact"/>
        <w:ind w:firstLine="640" w:firstLineChars="200"/>
        <w:contextualSpacing/>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2420" w:lineRule="exact"/>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 xml:space="preserve">    </w:t>
      </w:r>
    </w:p>
    <w:p>
      <w:pPr>
        <w:spacing w:line="100" w:lineRule="exact"/>
        <w:ind w:left="-105" w:leftChars="-50"/>
        <w:rPr>
          <w:rFonts w:hint="eastAsia" w:ascii="黑体" w:eastAsia="黑体"/>
          <w:sz w:val="32"/>
          <w:u w:val="single"/>
        </w:rPr>
      </w:pPr>
      <w:r>
        <w:rPr>
          <w:rFonts w:hint="eastAsia" w:ascii="黑体" w:eastAsia="黑体"/>
          <w:sz w:val="32"/>
          <w:u w:val="single"/>
        </w:rPr>
        <w:t xml:space="preserve">                                                         </w:t>
      </w:r>
    </w:p>
    <w:p>
      <w:pPr>
        <w:spacing w:line="60" w:lineRule="exact"/>
        <w:ind w:left="-105" w:leftChars="-50"/>
        <w:rPr>
          <w:rFonts w:hint="eastAsia" w:ascii="黑体" w:eastAsia="黑体"/>
          <w:sz w:val="32"/>
          <w:u w:val="single"/>
        </w:rPr>
      </w:pPr>
      <w:r>
        <w:rPr>
          <w:rFonts w:hint="eastAsia" w:ascii="仿宋_GB2312" w:eastAsia="仿宋_GB2312"/>
          <w:sz w:val="32"/>
        </w:rPr>
        <w:t xml:space="preserve">  </w:t>
      </w:r>
    </w:p>
    <w:p>
      <w:pPr>
        <w:spacing w:line="400" w:lineRule="exact"/>
        <w:ind w:right="-336" w:firstLine="160" w:firstLineChars="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湖州师范学院继续教育学院     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日印发</w:t>
      </w:r>
    </w:p>
    <w:p>
      <w:pPr>
        <w:spacing w:line="100" w:lineRule="exact"/>
        <w:ind w:left="-105" w:leftChars="-50"/>
        <w:rPr>
          <w:rFonts w:hint="eastAsia" w:ascii="仿宋" w:hAnsi="仿宋" w:eastAsia="仿宋"/>
          <w:sz w:val="32"/>
          <w:szCs w:val="32"/>
        </w:rPr>
      </w:pPr>
      <w:r>
        <w:rPr>
          <w:rFonts w:hint="eastAsia" w:ascii="黑体" w:eastAsia="黑体"/>
          <w:sz w:val="32"/>
          <w:u w:val="single"/>
        </w:rPr>
        <w:t xml:space="preserve">                                                         </w:t>
      </w:r>
    </w:p>
    <w:sectPr>
      <w:footerReference r:id="rId3" w:type="default"/>
      <w:pgSz w:w="11906" w:h="16838"/>
      <w:pgMar w:top="1240" w:right="1474" w:bottom="1318"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859155" cy="1479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1.65pt;width:67.65pt;mso-position-horizontal:outside;mso-position-horizontal-relative:margin;mso-wrap-style:none;z-index:251659264;mso-width-relative:page;mso-height-relative:page;" filled="f" stroked="f" coordsize="21600,21600" o:gfxdata="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UtNNDTAAAABAEAAA8AAAAAAAAAAQAgAAAAIgAAAGRycy9kb3ducmV2Lnht&#10;bFBLAQIUABQAAAAIAIdO4kC9dBt2NwIAAG8EAAAOAAAAAAAAAAEAIAAAACIBAABkcnMvZTJvRG9j&#10;LnhtbFBLBQYAAAAABgAGAFkBAADLBQAAAAA=&#10;">
              <v:fill on="f" focussize="0,0"/>
              <v:stroke on="f" weight="0.5pt"/>
              <v:imagedata o:title=""/>
              <o:lock v:ext="edit" aspectratio="f"/>
              <v:textbox inset="0mm,0mm,0mm,0mm" style="mso-fit-shape-to-text:t;">
                <w:txbxContent>
                  <w:p>
                    <w:pPr>
                      <w:pStyle w:val="5"/>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336"/>
    <w:rsid w:val="00056E18"/>
    <w:rsid w:val="00056F11"/>
    <w:rsid w:val="00086A22"/>
    <w:rsid w:val="0009036C"/>
    <w:rsid w:val="000D4830"/>
    <w:rsid w:val="000E6BC0"/>
    <w:rsid w:val="000F7334"/>
    <w:rsid w:val="00112C7C"/>
    <w:rsid w:val="00113017"/>
    <w:rsid w:val="00153D4A"/>
    <w:rsid w:val="001665E1"/>
    <w:rsid w:val="001712DB"/>
    <w:rsid w:val="001B0739"/>
    <w:rsid w:val="001B2931"/>
    <w:rsid w:val="001E64D6"/>
    <w:rsid w:val="00201DBC"/>
    <w:rsid w:val="002078A3"/>
    <w:rsid w:val="002221F4"/>
    <w:rsid w:val="002816C6"/>
    <w:rsid w:val="00292FA5"/>
    <w:rsid w:val="00297D6E"/>
    <w:rsid w:val="002A6DF4"/>
    <w:rsid w:val="002C38AD"/>
    <w:rsid w:val="002E4A8D"/>
    <w:rsid w:val="002E5769"/>
    <w:rsid w:val="002F2A39"/>
    <w:rsid w:val="003032BD"/>
    <w:rsid w:val="00325068"/>
    <w:rsid w:val="00385D7E"/>
    <w:rsid w:val="003A2DD8"/>
    <w:rsid w:val="003D041E"/>
    <w:rsid w:val="003E0E6C"/>
    <w:rsid w:val="004206DB"/>
    <w:rsid w:val="00436413"/>
    <w:rsid w:val="004445FE"/>
    <w:rsid w:val="004A47EA"/>
    <w:rsid w:val="004B7506"/>
    <w:rsid w:val="004C7851"/>
    <w:rsid w:val="004D2BC2"/>
    <w:rsid w:val="004D797A"/>
    <w:rsid w:val="004E4EEC"/>
    <w:rsid w:val="004F593B"/>
    <w:rsid w:val="00501BD0"/>
    <w:rsid w:val="00521EC1"/>
    <w:rsid w:val="00532CEE"/>
    <w:rsid w:val="00572149"/>
    <w:rsid w:val="0057241D"/>
    <w:rsid w:val="00585DA1"/>
    <w:rsid w:val="00587E50"/>
    <w:rsid w:val="005900E6"/>
    <w:rsid w:val="005929E0"/>
    <w:rsid w:val="005C1360"/>
    <w:rsid w:val="005C6AE5"/>
    <w:rsid w:val="005D18A5"/>
    <w:rsid w:val="005D72E8"/>
    <w:rsid w:val="00611080"/>
    <w:rsid w:val="00611A96"/>
    <w:rsid w:val="0061226F"/>
    <w:rsid w:val="00633C7A"/>
    <w:rsid w:val="00634F56"/>
    <w:rsid w:val="00687ACD"/>
    <w:rsid w:val="006915A5"/>
    <w:rsid w:val="00697614"/>
    <w:rsid w:val="006B1751"/>
    <w:rsid w:val="006C5B93"/>
    <w:rsid w:val="006D19D4"/>
    <w:rsid w:val="006E05B0"/>
    <w:rsid w:val="006F1869"/>
    <w:rsid w:val="00711403"/>
    <w:rsid w:val="00720229"/>
    <w:rsid w:val="007257D8"/>
    <w:rsid w:val="007302DC"/>
    <w:rsid w:val="00732C44"/>
    <w:rsid w:val="00746AFA"/>
    <w:rsid w:val="007605EE"/>
    <w:rsid w:val="00767160"/>
    <w:rsid w:val="007A3501"/>
    <w:rsid w:val="007B781E"/>
    <w:rsid w:val="007C7D7B"/>
    <w:rsid w:val="007F7427"/>
    <w:rsid w:val="00827D4B"/>
    <w:rsid w:val="00843F5A"/>
    <w:rsid w:val="00860887"/>
    <w:rsid w:val="0086281D"/>
    <w:rsid w:val="00882969"/>
    <w:rsid w:val="0088747C"/>
    <w:rsid w:val="008C40A9"/>
    <w:rsid w:val="008C47C7"/>
    <w:rsid w:val="008D7B13"/>
    <w:rsid w:val="008E19F9"/>
    <w:rsid w:val="008E6E60"/>
    <w:rsid w:val="00914532"/>
    <w:rsid w:val="00923FC6"/>
    <w:rsid w:val="00961E78"/>
    <w:rsid w:val="0097403C"/>
    <w:rsid w:val="009964B4"/>
    <w:rsid w:val="009972FA"/>
    <w:rsid w:val="009B2A30"/>
    <w:rsid w:val="009E5AC0"/>
    <w:rsid w:val="00A0686F"/>
    <w:rsid w:val="00A07E3F"/>
    <w:rsid w:val="00A11553"/>
    <w:rsid w:val="00A51FB7"/>
    <w:rsid w:val="00A7168A"/>
    <w:rsid w:val="00A723D0"/>
    <w:rsid w:val="00AE1790"/>
    <w:rsid w:val="00AE507A"/>
    <w:rsid w:val="00AE7A67"/>
    <w:rsid w:val="00AF4081"/>
    <w:rsid w:val="00AF56EC"/>
    <w:rsid w:val="00B13625"/>
    <w:rsid w:val="00B260AE"/>
    <w:rsid w:val="00B32CAA"/>
    <w:rsid w:val="00B45A9E"/>
    <w:rsid w:val="00B61EE9"/>
    <w:rsid w:val="00B712B7"/>
    <w:rsid w:val="00B7417D"/>
    <w:rsid w:val="00B95283"/>
    <w:rsid w:val="00BB787F"/>
    <w:rsid w:val="00BC364E"/>
    <w:rsid w:val="00BD2D7C"/>
    <w:rsid w:val="00BE034C"/>
    <w:rsid w:val="00BE0FFB"/>
    <w:rsid w:val="00C1222D"/>
    <w:rsid w:val="00C158CF"/>
    <w:rsid w:val="00C27FBF"/>
    <w:rsid w:val="00C35230"/>
    <w:rsid w:val="00C47782"/>
    <w:rsid w:val="00C53D43"/>
    <w:rsid w:val="00C57234"/>
    <w:rsid w:val="00C70E95"/>
    <w:rsid w:val="00C751F3"/>
    <w:rsid w:val="00C82737"/>
    <w:rsid w:val="00CB12EC"/>
    <w:rsid w:val="00CC0F81"/>
    <w:rsid w:val="00CD1DEE"/>
    <w:rsid w:val="00CF6566"/>
    <w:rsid w:val="00CF6F22"/>
    <w:rsid w:val="00D239F1"/>
    <w:rsid w:val="00D51E07"/>
    <w:rsid w:val="00D77855"/>
    <w:rsid w:val="00D8318F"/>
    <w:rsid w:val="00D922AF"/>
    <w:rsid w:val="00D927AD"/>
    <w:rsid w:val="00D97432"/>
    <w:rsid w:val="00DD6A77"/>
    <w:rsid w:val="00E045FF"/>
    <w:rsid w:val="00E05F76"/>
    <w:rsid w:val="00E07ABE"/>
    <w:rsid w:val="00E12A59"/>
    <w:rsid w:val="00E346D7"/>
    <w:rsid w:val="00E35B22"/>
    <w:rsid w:val="00E50F14"/>
    <w:rsid w:val="00E6298D"/>
    <w:rsid w:val="00E85791"/>
    <w:rsid w:val="00EA5091"/>
    <w:rsid w:val="00EC13D1"/>
    <w:rsid w:val="00EE2060"/>
    <w:rsid w:val="00EF5986"/>
    <w:rsid w:val="00EF6031"/>
    <w:rsid w:val="00F1687F"/>
    <w:rsid w:val="00F212BE"/>
    <w:rsid w:val="00F26C17"/>
    <w:rsid w:val="00F3614F"/>
    <w:rsid w:val="00F36C75"/>
    <w:rsid w:val="00F47932"/>
    <w:rsid w:val="00F76336"/>
    <w:rsid w:val="00F81BA3"/>
    <w:rsid w:val="00F86203"/>
    <w:rsid w:val="00FB3F96"/>
    <w:rsid w:val="00FD1B2A"/>
    <w:rsid w:val="00FE2AC0"/>
    <w:rsid w:val="012A1370"/>
    <w:rsid w:val="021D20ED"/>
    <w:rsid w:val="0335375A"/>
    <w:rsid w:val="0366741A"/>
    <w:rsid w:val="0453545F"/>
    <w:rsid w:val="04905031"/>
    <w:rsid w:val="053D3558"/>
    <w:rsid w:val="063F7844"/>
    <w:rsid w:val="075061B6"/>
    <w:rsid w:val="08603F7A"/>
    <w:rsid w:val="09CC65B9"/>
    <w:rsid w:val="09F14466"/>
    <w:rsid w:val="0A183A45"/>
    <w:rsid w:val="0AFC5513"/>
    <w:rsid w:val="0D797D32"/>
    <w:rsid w:val="0E8421C1"/>
    <w:rsid w:val="108A3A6B"/>
    <w:rsid w:val="110E71FA"/>
    <w:rsid w:val="12FE2A87"/>
    <w:rsid w:val="137B40D9"/>
    <w:rsid w:val="141D1752"/>
    <w:rsid w:val="14827D45"/>
    <w:rsid w:val="158C0883"/>
    <w:rsid w:val="15A809F5"/>
    <w:rsid w:val="178F1360"/>
    <w:rsid w:val="1862514D"/>
    <w:rsid w:val="19217BA5"/>
    <w:rsid w:val="194E463D"/>
    <w:rsid w:val="1AA77875"/>
    <w:rsid w:val="1ACF0719"/>
    <w:rsid w:val="1B324313"/>
    <w:rsid w:val="1C516024"/>
    <w:rsid w:val="1C6608C7"/>
    <w:rsid w:val="1D360C07"/>
    <w:rsid w:val="1FD25BF6"/>
    <w:rsid w:val="20EC5DB3"/>
    <w:rsid w:val="20F746BB"/>
    <w:rsid w:val="210E79A5"/>
    <w:rsid w:val="21981F9F"/>
    <w:rsid w:val="236A7AD1"/>
    <w:rsid w:val="236F279B"/>
    <w:rsid w:val="245F009A"/>
    <w:rsid w:val="281C4892"/>
    <w:rsid w:val="28787516"/>
    <w:rsid w:val="29003C83"/>
    <w:rsid w:val="294154D9"/>
    <w:rsid w:val="2C99170F"/>
    <w:rsid w:val="2E090F3C"/>
    <w:rsid w:val="2E210ACB"/>
    <w:rsid w:val="2EFC7F23"/>
    <w:rsid w:val="2F202E55"/>
    <w:rsid w:val="2F9F2C22"/>
    <w:rsid w:val="2FAD039B"/>
    <w:rsid w:val="3022679E"/>
    <w:rsid w:val="3039372F"/>
    <w:rsid w:val="3195619D"/>
    <w:rsid w:val="31A74F57"/>
    <w:rsid w:val="32653472"/>
    <w:rsid w:val="340A0873"/>
    <w:rsid w:val="34211BBF"/>
    <w:rsid w:val="34F750F1"/>
    <w:rsid w:val="359D5F15"/>
    <w:rsid w:val="377B287D"/>
    <w:rsid w:val="37EC3FF4"/>
    <w:rsid w:val="38634754"/>
    <w:rsid w:val="38C66DFE"/>
    <w:rsid w:val="39145D26"/>
    <w:rsid w:val="39B35C01"/>
    <w:rsid w:val="3A9A729B"/>
    <w:rsid w:val="3AF61282"/>
    <w:rsid w:val="3C1769AD"/>
    <w:rsid w:val="3C38025F"/>
    <w:rsid w:val="3C4C0129"/>
    <w:rsid w:val="3CE851E4"/>
    <w:rsid w:val="3D166CC7"/>
    <w:rsid w:val="3F5A4BDA"/>
    <w:rsid w:val="3FCD07C9"/>
    <w:rsid w:val="404639C3"/>
    <w:rsid w:val="406B1CFF"/>
    <w:rsid w:val="42CB078B"/>
    <w:rsid w:val="43887AA2"/>
    <w:rsid w:val="46210F15"/>
    <w:rsid w:val="467258C4"/>
    <w:rsid w:val="46966DCE"/>
    <w:rsid w:val="47D71FF9"/>
    <w:rsid w:val="48B76C13"/>
    <w:rsid w:val="49B9234B"/>
    <w:rsid w:val="4BCE41BF"/>
    <w:rsid w:val="4BD36614"/>
    <w:rsid w:val="4C607285"/>
    <w:rsid w:val="4CA95138"/>
    <w:rsid w:val="4CC0371B"/>
    <w:rsid w:val="4DDB5074"/>
    <w:rsid w:val="4DF16852"/>
    <w:rsid w:val="50A625A7"/>
    <w:rsid w:val="510A382F"/>
    <w:rsid w:val="51E934BF"/>
    <w:rsid w:val="529D1AD0"/>
    <w:rsid w:val="52B92D91"/>
    <w:rsid w:val="536C1897"/>
    <w:rsid w:val="53CA21FE"/>
    <w:rsid w:val="541444DE"/>
    <w:rsid w:val="566016B1"/>
    <w:rsid w:val="56A77774"/>
    <w:rsid w:val="56AF352B"/>
    <w:rsid w:val="57DE4D13"/>
    <w:rsid w:val="58A32519"/>
    <w:rsid w:val="59210710"/>
    <w:rsid w:val="594F4752"/>
    <w:rsid w:val="5B433A1D"/>
    <w:rsid w:val="5BED76DD"/>
    <w:rsid w:val="5CA0693C"/>
    <w:rsid w:val="5DFD540F"/>
    <w:rsid w:val="5E336F17"/>
    <w:rsid w:val="5FDF9B07"/>
    <w:rsid w:val="5FFE30A5"/>
    <w:rsid w:val="610F194D"/>
    <w:rsid w:val="622F5308"/>
    <w:rsid w:val="62481809"/>
    <w:rsid w:val="649603E3"/>
    <w:rsid w:val="66566244"/>
    <w:rsid w:val="669D3774"/>
    <w:rsid w:val="674D3A3E"/>
    <w:rsid w:val="68306190"/>
    <w:rsid w:val="68882C0D"/>
    <w:rsid w:val="6B3E0EB2"/>
    <w:rsid w:val="6D284667"/>
    <w:rsid w:val="6D51720A"/>
    <w:rsid w:val="7195460A"/>
    <w:rsid w:val="724940C8"/>
    <w:rsid w:val="72785292"/>
    <w:rsid w:val="72B63DE4"/>
    <w:rsid w:val="72C906D8"/>
    <w:rsid w:val="73AA78F1"/>
    <w:rsid w:val="73B33399"/>
    <w:rsid w:val="73B807C8"/>
    <w:rsid w:val="76110A69"/>
    <w:rsid w:val="77AF6A22"/>
    <w:rsid w:val="77E41319"/>
    <w:rsid w:val="78B34874"/>
    <w:rsid w:val="7AA254B0"/>
    <w:rsid w:val="7E780258"/>
    <w:rsid w:val="7EEB2541"/>
    <w:rsid w:val="BFEFF53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99"/>
    <w:pPr>
      <w:keepNext/>
      <w:keepLines/>
      <w:spacing w:before="340" w:after="330" w:line="578" w:lineRule="auto"/>
      <w:outlineLvl w:val="0"/>
    </w:pPr>
    <w:rPr>
      <w:b/>
      <w:bCs/>
      <w:kern w:val="44"/>
      <w:sz w:val="44"/>
      <w:szCs w:val="4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NormalIndent"/>
    <w:basedOn w:val="1"/>
    <w:qFormat/>
    <w:uiPriority w:val="0"/>
    <w:pPr>
      <w:ind w:firstLine="420"/>
      <w:textAlignment w:val="baseline"/>
    </w:pPr>
    <w:rPr>
      <w:rFonts w:ascii="Calibri" w:hAnsi="Calibri"/>
    </w:rPr>
  </w:style>
  <w:style w:type="paragraph" w:styleId="4">
    <w:name w:val="Plain Text"/>
    <w:basedOn w:val="1"/>
    <w:qFormat/>
    <w:uiPriority w:val="0"/>
    <w:rPr>
      <w:rFonts w:ascii="宋体" w:hAnsi="Courier New"/>
      <w:b/>
      <w:color w:val="000000"/>
      <w:szCs w:val="20"/>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qFormat/>
    <w:uiPriority w:val="99"/>
    <w:pPr>
      <w:widowControl/>
      <w:spacing w:after="100" w:line="259" w:lineRule="auto"/>
      <w:jc w:val="left"/>
    </w:pPr>
    <w:rPr>
      <w:kern w:val="0"/>
      <w:sz w:val="22"/>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9">
    <w:name w:val="Title"/>
    <w:basedOn w:val="1"/>
    <w:qFormat/>
    <w:uiPriority w:val="0"/>
    <w:pPr>
      <w:spacing w:before="240" w:after="60"/>
      <w:jc w:val="center"/>
      <w:outlineLvl w:val="0"/>
    </w:pPr>
    <w:rPr>
      <w:rFonts w:ascii="Arial" w:hAnsi="Arial"/>
      <w:b/>
      <w:sz w:val="32"/>
      <w:szCs w:val="20"/>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22"/>
    <w:rPr>
      <w:b/>
      <w:bCs/>
    </w:rPr>
  </w:style>
  <w:style w:type="character" w:styleId="14">
    <w:name w:val="page number"/>
    <w:basedOn w:val="12"/>
    <w:qFormat/>
    <w:uiPriority w:val="0"/>
  </w:style>
  <w:style w:type="character" w:styleId="15">
    <w:name w:val="Emphasis"/>
    <w:basedOn w:val="12"/>
    <w:qFormat/>
    <w:uiPriority w:val="20"/>
    <w:rPr>
      <w:i/>
      <w:iCs/>
    </w:rPr>
  </w:style>
  <w:style w:type="paragraph" w:customStyle="1" w:styleId="16">
    <w:name w:val="TOC Heading1"/>
    <w:basedOn w:val="3"/>
    <w:next w:val="1"/>
    <w:qFormat/>
    <w:uiPriority w:val="99"/>
    <w:pPr>
      <w:widowControl/>
      <w:spacing w:before="240" w:after="0" w:line="259" w:lineRule="auto"/>
      <w:jc w:val="left"/>
      <w:outlineLvl w:val="9"/>
    </w:pPr>
    <w:rPr>
      <w:rFonts w:ascii="Cambria" w:hAnsi="Cambria"/>
      <w:b w:val="0"/>
      <w:bCs w:val="0"/>
      <w:color w:val="365F91"/>
      <w:kern w:val="0"/>
      <w:sz w:val="32"/>
      <w:szCs w:val="32"/>
    </w:rPr>
  </w:style>
  <w:style w:type="character" w:customStyle="1" w:styleId="17">
    <w:name w:val="font11"/>
    <w:basedOn w:val="12"/>
    <w:qFormat/>
    <w:uiPriority w:val="0"/>
    <w:rPr>
      <w:rFonts w:hint="eastAsia" w:ascii="宋体" w:hAnsi="宋体" w:eastAsia="宋体" w:cs="宋体"/>
      <w:b/>
      <w:color w:val="000000"/>
      <w:sz w:val="20"/>
      <w:szCs w:val="20"/>
      <w:u w:val="none"/>
    </w:rPr>
  </w:style>
  <w:style w:type="paragraph" w:styleId="18">
    <w:name w:val="List Paragraph"/>
    <w:basedOn w:val="1"/>
    <w:unhideWhenUsed/>
    <w:qFormat/>
    <w:uiPriority w:val="99"/>
    <w:pPr>
      <w:ind w:firstLine="420" w:firstLineChars="200"/>
    </w:pPr>
  </w:style>
  <w:style w:type="paragraph" w:customStyle="1" w:styleId="19">
    <w:name w:val="western"/>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20">
    <w:name w:val="font21"/>
    <w:basedOn w:val="12"/>
    <w:uiPriority w:val="0"/>
    <w:rPr>
      <w:rFonts w:hint="eastAsia" w:ascii="黑体" w:hAnsi="宋体" w:eastAsia="黑体" w:cs="黑体"/>
      <w:color w:val="000000"/>
      <w:sz w:val="32"/>
      <w:szCs w:val="3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11</Pages>
  <Words>857</Words>
  <Characters>4890</Characters>
  <Lines>40</Lines>
  <Paragraphs>11</Paragraphs>
  <TotalTime>14</TotalTime>
  <ScaleCrop>false</ScaleCrop>
  <LinksUpToDate>false</LinksUpToDate>
  <CharactersWithSpaces>5736</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jjxy</dc:creator>
  <cp:lastModifiedBy>user</cp:lastModifiedBy>
  <cp:lastPrinted>2021-12-16T07:11:00Z</cp:lastPrinted>
  <dcterms:modified xsi:type="dcterms:W3CDTF">2022-03-25T09:11:11Z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456A8C971B934B2DAD370C5407399D2B</vt:lpwstr>
  </property>
</Properties>
</file>