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spacing w:line="560" w:lineRule="exact"/>
        <w:ind w:firstLine="0" w:firstLineChars="0"/>
        <w:rPr>
          <w:rFonts w:hint="eastAsia" w:ascii="仿宋" w:hAnsi="仿宋" w:eastAsia="仿宋" w:cs="仿宋"/>
          <w:sz w:val="32"/>
          <w:szCs w:val="32"/>
        </w:rPr>
      </w:pPr>
    </w:p>
    <w:p>
      <w:pPr>
        <w:pStyle w:val="4"/>
        <w:spacing w:line="560" w:lineRule="exact"/>
        <w:ind w:firstLine="0" w:firstLineChars="0"/>
        <w:rPr>
          <w:rFonts w:hint="eastAsia" w:ascii="仿宋" w:hAnsi="仿宋" w:eastAsia="仿宋" w:cs="仿宋"/>
          <w:sz w:val="32"/>
          <w:szCs w:val="32"/>
        </w:rPr>
      </w:pPr>
    </w:p>
    <w:p>
      <w:pPr>
        <w:pStyle w:val="4"/>
        <w:spacing w:line="560" w:lineRule="exact"/>
        <w:ind w:firstLine="0" w:firstLineChars="0"/>
        <w:rPr>
          <w:rFonts w:hint="eastAsia" w:ascii="仿宋" w:hAnsi="仿宋" w:eastAsia="仿宋" w:cs="仿宋"/>
          <w:sz w:val="32"/>
          <w:szCs w:val="32"/>
        </w:rPr>
      </w:pPr>
    </w:p>
    <w:p>
      <w:pPr>
        <w:pStyle w:val="4"/>
        <w:spacing w:line="560" w:lineRule="exact"/>
        <w:ind w:firstLine="0" w:firstLineChars="0"/>
        <w:rPr>
          <w:rFonts w:hint="eastAsia" w:ascii="仿宋" w:hAnsi="仿宋" w:eastAsia="仿宋" w:cs="仿宋"/>
          <w:sz w:val="32"/>
          <w:szCs w:val="32"/>
        </w:rPr>
      </w:pPr>
    </w:p>
    <w:p>
      <w:pPr>
        <w:pStyle w:val="4"/>
        <w:spacing w:line="560" w:lineRule="exact"/>
        <w:ind w:firstLine="0" w:firstLineChars="0"/>
        <w:rPr>
          <w:rFonts w:hint="eastAsia" w:ascii="仿宋" w:hAnsi="仿宋" w:eastAsia="仿宋" w:cs="仿宋"/>
          <w:sz w:val="32"/>
          <w:szCs w:val="32"/>
        </w:rPr>
      </w:pPr>
    </w:p>
    <w:p>
      <w:pPr>
        <w:pStyle w:val="4"/>
        <w:spacing w:line="560" w:lineRule="exact"/>
        <w:ind w:firstLine="0" w:firstLineChars="0"/>
        <w:rPr>
          <w:rFonts w:hint="eastAsia" w:ascii="仿宋" w:hAnsi="仿宋" w:eastAsia="仿宋" w:cs="仿宋"/>
          <w:sz w:val="32"/>
          <w:szCs w:val="32"/>
        </w:rPr>
      </w:pPr>
    </w:p>
    <w:p>
      <w:pPr>
        <w:pStyle w:val="4"/>
        <w:spacing w:line="560" w:lineRule="exact"/>
        <w:ind w:firstLine="0" w:firstLineChars="0"/>
        <w:rPr>
          <w:rFonts w:hint="eastAsia" w:ascii="方正仿宋_GB2312" w:hAnsi="方正仿宋_GB2312" w:eastAsia="方正仿宋_GB2312" w:cs="方正仿宋_GB2312"/>
          <w:szCs w:val="32"/>
        </w:rPr>
      </w:pPr>
      <w:r>
        <w:rPr>
          <w:rFonts w:hint="eastAsia" w:ascii="仿宋_GB2312" w:hAnsi="宋体" w:eastAsia="仿宋_GB2312" w:cs="Times New Roman"/>
          <w:b/>
          <w:bCs/>
          <w:kern w:val="2"/>
          <w:sz w:val="32"/>
          <w:szCs w:val="32"/>
          <w:lang w:val="en-US" w:eastAsia="zh-CN" w:bidi="ar-SA"/>
        </w:rPr>
        <w:t>湖师外语党发〔2022〕1号</w:t>
      </w:r>
    </w:p>
    <w:p>
      <w:pPr>
        <w:tabs>
          <w:tab w:val="left" w:pos="3654"/>
        </w:tabs>
        <w:spacing w:line="600" w:lineRule="exact"/>
        <w:ind w:right="-88" w:rightChars="-42"/>
        <w:jc w:val="both"/>
        <w:rPr>
          <w:rFonts w:hint="eastAsia" w:ascii="方正小标宋简体" w:hAnsi="方正小标宋简体" w:eastAsia="方正小标宋简体" w:cs="方正小标宋简体"/>
          <w:b w:val="0"/>
          <w:bCs w:val="0"/>
          <w:color w:val="000000"/>
          <w:spacing w:val="20"/>
          <w:kern w:val="0"/>
          <w:sz w:val="44"/>
          <w:szCs w:val="44"/>
          <w:lang w:eastAsia="zh-CN"/>
        </w:rPr>
      </w:pPr>
    </w:p>
    <w:p>
      <w:pPr>
        <w:keepNext w:val="0"/>
        <w:keepLines w:val="0"/>
        <w:pageBreakBefore w:val="0"/>
        <w:widowControl w:val="0"/>
        <w:kinsoku/>
        <w:wordWrap/>
        <w:overflowPunct/>
        <w:topLinePunct w:val="0"/>
        <w:autoSpaceDE/>
        <w:autoSpaceDN/>
        <w:bidi w:val="0"/>
        <w:adjustRightInd/>
        <w:snapToGrid/>
        <w:spacing w:line="600" w:lineRule="exact"/>
        <w:ind w:right="0" w:rightChars="0"/>
        <w:jc w:val="center"/>
        <w:textAlignment w:val="auto"/>
        <w:rPr>
          <w:rFonts w:hint="eastAsia" w:ascii="方正小标宋简体" w:hAnsi="方正小标宋简体" w:eastAsia="方正小标宋简体" w:cs="方正小标宋简体"/>
          <w:b w:val="0"/>
          <w:bCs/>
          <w:spacing w:val="34"/>
          <w:sz w:val="44"/>
          <w:szCs w:val="44"/>
          <w:lang w:val="en-US" w:eastAsia="zh-CN"/>
        </w:rPr>
      </w:pPr>
      <w:r>
        <w:rPr>
          <w:rFonts w:hint="eastAsia" w:ascii="方正小标宋简体" w:hAnsi="方正小标宋简体" w:eastAsia="方正小标宋简体" w:cs="方正小标宋简体"/>
          <w:b w:val="0"/>
          <w:bCs/>
          <w:spacing w:val="34"/>
          <w:sz w:val="44"/>
          <w:szCs w:val="44"/>
          <w:lang w:val="en-US" w:eastAsia="zh-CN"/>
        </w:rPr>
        <w:t>关于印发《外国语学院“十四五”</w:t>
      </w:r>
    </w:p>
    <w:p>
      <w:pPr>
        <w:keepNext w:val="0"/>
        <w:keepLines w:val="0"/>
        <w:pageBreakBefore w:val="0"/>
        <w:widowControl w:val="0"/>
        <w:kinsoku/>
        <w:wordWrap/>
        <w:overflowPunct/>
        <w:topLinePunct w:val="0"/>
        <w:autoSpaceDE/>
        <w:autoSpaceDN/>
        <w:bidi w:val="0"/>
        <w:adjustRightInd/>
        <w:snapToGrid/>
        <w:spacing w:line="600" w:lineRule="exact"/>
        <w:ind w:right="0" w:rightChars="0"/>
        <w:jc w:val="center"/>
        <w:textAlignment w:val="auto"/>
        <w:rPr>
          <w:rFonts w:hint="eastAsia" w:ascii="方正小标宋简体" w:hAnsi="方正小标宋简体" w:eastAsia="方正小标宋简体" w:cs="方正小标宋简体"/>
          <w:b w:val="0"/>
          <w:bCs/>
          <w:spacing w:val="34"/>
          <w:sz w:val="44"/>
          <w:szCs w:val="44"/>
          <w:lang w:val="en-US" w:eastAsia="zh-CN"/>
        </w:rPr>
      </w:pPr>
      <w:r>
        <w:rPr>
          <w:rFonts w:hint="eastAsia" w:ascii="方正小标宋简体" w:hAnsi="方正小标宋简体" w:eastAsia="方正小标宋简体" w:cs="方正小标宋简体"/>
          <w:b w:val="0"/>
          <w:bCs/>
          <w:spacing w:val="34"/>
          <w:sz w:val="44"/>
          <w:szCs w:val="44"/>
          <w:lang w:val="en-US" w:eastAsia="zh-CN"/>
        </w:rPr>
        <w:t>发展规划》的通知</w:t>
      </w:r>
    </w:p>
    <w:p>
      <w:pPr>
        <w:widowControl/>
        <w:spacing w:line="400" w:lineRule="atLeast"/>
        <w:jc w:val="left"/>
        <w:rPr>
          <w:rFonts w:hint="eastAsia" w:ascii="方正小标宋_GBK" w:hAnsi="方正小标宋_GBK" w:eastAsia="方正小标宋_GBK" w:cs="方正小标宋_GBK"/>
          <w:color w:val="636363"/>
          <w:spacing w:val="20"/>
          <w:kern w:val="0"/>
          <w:sz w:val="44"/>
          <w:szCs w:val="44"/>
        </w:rPr>
      </w:pPr>
      <w:r>
        <w:rPr>
          <w:rFonts w:hint="eastAsia" w:ascii="方正小标宋_GBK" w:hAnsi="方正小标宋_GBK" w:eastAsia="方正小标宋_GBK" w:cs="方正小标宋_GBK"/>
          <w:color w:val="636363"/>
          <w:spacing w:val="20"/>
          <w:kern w:val="0"/>
          <w:sz w:val="44"/>
          <w:szCs w:val="44"/>
        </w:rPr>
        <w:t> </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both"/>
        <w:textAlignment w:val="auto"/>
        <w:outlineLvl w:val="9"/>
        <w:rPr>
          <w:rFonts w:hint="eastAsia" w:ascii="仿宋_GB2312" w:eastAsia="仿宋_GB2312"/>
          <w:sz w:val="32"/>
          <w:szCs w:val="32"/>
        </w:rPr>
      </w:pPr>
      <w:bookmarkStart w:id="0" w:name="主送机关"/>
      <w:r>
        <w:rPr>
          <w:rFonts w:hint="eastAsia" w:ascii="仿宋_GB2312" w:eastAsia="仿宋_GB2312"/>
          <w:sz w:val="32"/>
          <w:szCs w:val="32"/>
        </w:rPr>
        <w:t>各</w:t>
      </w:r>
      <w:r>
        <w:rPr>
          <w:rFonts w:hint="eastAsia" w:ascii="仿宋_GB2312" w:eastAsia="仿宋_GB2312"/>
          <w:sz w:val="32"/>
          <w:szCs w:val="32"/>
          <w:lang w:eastAsia="zh-CN"/>
        </w:rPr>
        <w:t>党</w:t>
      </w:r>
      <w:r>
        <w:rPr>
          <w:rFonts w:hint="eastAsia" w:ascii="仿宋_GB2312" w:eastAsia="仿宋_GB2312"/>
          <w:sz w:val="32"/>
          <w:szCs w:val="32"/>
        </w:rPr>
        <w:t>支部、各系、部、办、实验中心</w:t>
      </w:r>
      <w:bookmarkEnd w:id="0"/>
      <w:r>
        <w:rPr>
          <w:rFonts w:hint="eastAsia" w:ascii="仿宋_GB2312" w:eastAsia="仿宋_GB2312"/>
          <w:sz w:val="32"/>
          <w:szCs w:val="32"/>
        </w:rPr>
        <w:t>：</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outlineLvl w:val="9"/>
        <w:rPr>
          <w:rFonts w:hint="eastAsia" w:ascii="仿宋_GB2312" w:eastAsia="仿宋_GB2312"/>
          <w:sz w:val="32"/>
          <w:szCs w:val="32"/>
        </w:rPr>
      </w:pPr>
      <w:r>
        <w:rPr>
          <w:rFonts w:hint="eastAsia" w:ascii="仿宋_GB2312" w:eastAsia="仿宋_GB2312"/>
          <w:sz w:val="32"/>
          <w:szCs w:val="32"/>
        </w:rPr>
        <w:t>《外国语学院“十</w:t>
      </w:r>
      <w:r>
        <w:rPr>
          <w:rFonts w:hint="eastAsia" w:ascii="仿宋_GB2312" w:eastAsia="仿宋_GB2312"/>
          <w:sz w:val="32"/>
          <w:szCs w:val="32"/>
          <w:lang w:eastAsia="zh-CN"/>
        </w:rPr>
        <w:t>四</w:t>
      </w:r>
      <w:r>
        <w:rPr>
          <w:rFonts w:hint="eastAsia" w:ascii="仿宋_GB2312" w:eastAsia="仿宋_GB2312"/>
          <w:sz w:val="32"/>
          <w:szCs w:val="32"/>
        </w:rPr>
        <w:t>五”发展规划》已经学</w:t>
      </w:r>
      <w:r>
        <w:rPr>
          <w:rFonts w:hint="eastAsia" w:ascii="仿宋_GB2312" w:eastAsia="仿宋_GB2312"/>
          <w:sz w:val="32"/>
          <w:szCs w:val="32"/>
          <w:lang w:eastAsia="zh-CN"/>
        </w:rPr>
        <w:t>院党政联席会议</w:t>
      </w:r>
      <w:r>
        <w:rPr>
          <w:rFonts w:hint="eastAsia" w:ascii="仿宋_GB2312" w:eastAsia="仿宋_GB2312"/>
          <w:sz w:val="32"/>
          <w:szCs w:val="32"/>
        </w:rPr>
        <w:t>审议通过，现印发给你们，请认真组织贯彻落实。</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both"/>
        <w:textAlignment w:val="auto"/>
        <w:outlineLvl w:val="9"/>
        <w:rPr>
          <w:rFonts w:hint="eastAsia" w:ascii="仿宋_GB2312" w:hAnsi="宋体" w:eastAsia="仿宋_GB2312"/>
          <w:bCs/>
          <w:sz w:val="32"/>
          <w:szCs w:val="32"/>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both"/>
        <w:textAlignment w:val="auto"/>
        <w:outlineLvl w:val="9"/>
        <w:rPr>
          <w:rFonts w:hint="eastAsia" w:ascii="仿宋_GB2312" w:hAnsi="宋体" w:eastAsia="仿宋_GB2312"/>
          <w:bCs/>
          <w:sz w:val="32"/>
          <w:szCs w:val="32"/>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both"/>
        <w:textAlignment w:val="auto"/>
        <w:outlineLvl w:val="9"/>
        <w:rPr>
          <w:rFonts w:hint="eastAsia" w:ascii="仿宋_GB2312" w:hAnsi="宋体" w:eastAsia="仿宋_GB2312"/>
          <w:bCs/>
          <w:sz w:val="32"/>
          <w:szCs w:val="32"/>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right"/>
        <w:textAlignment w:val="auto"/>
        <w:outlineLvl w:val="9"/>
        <w:rPr>
          <w:rFonts w:hint="default" w:ascii="仿宋_GB2312" w:hAnsi="宋体" w:eastAsia="仿宋_GB2312"/>
          <w:bCs/>
          <w:sz w:val="32"/>
          <w:szCs w:val="32"/>
          <w:lang w:val="en-US" w:eastAsia="zh-CN"/>
        </w:rPr>
      </w:pPr>
      <w:r>
        <w:rPr>
          <w:rFonts w:hint="eastAsia" w:ascii="仿宋_GB2312" w:hAnsi="宋体" w:eastAsia="仿宋_GB2312"/>
          <w:bCs/>
          <w:sz w:val="32"/>
          <w:szCs w:val="32"/>
        </w:rPr>
        <w:t>中共湖州师范学院外国语学院委员会</w:t>
      </w:r>
    </w:p>
    <w:p>
      <w:pPr>
        <w:keepNext w:val="0"/>
        <w:keepLines w:val="0"/>
        <w:pageBreakBefore w:val="0"/>
        <w:widowControl w:val="0"/>
        <w:kinsoku/>
        <w:wordWrap/>
        <w:overflowPunct/>
        <w:topLinePunct w:val="0"/>
        <w:autoSpaceDE/>
        <w:autoSpaceDN/>
        <w:bidi w:val="0"/>
        <w:adjustRightInd/>
        <w:snapToGrid/>
        <w:spacing w:line="520" w:lineRule="exact"/>
        <w:ind w:left="0" w:leftChars="0" w:right="640" w:firstLine="0" w:firstLineChars="0"/>
        <w:jc w:val="left"/>
        <w:textAlignment w:val="auto"/>
        <w:outlineLvl w:val="9"/>
        <w:rPr>
          <w:rFonts w:hint="eastAsia" w:ascii="仿宋_GB2312" w:hAnsi="宋体" w:eastAsia="仿宋_GB2312"/>
          <w:bCs/>
          <w:sz w:val="32"/>
          <w:szCs w:val="32"/>
        </w:rPr>
      </w:pPr>
      <w:r>
        <w:rPr>
          <w:rFonts w:hint="eastAsia" w:ascii="仿宋_GB2312" w:hAnsi="宋体" w:eastAsia="仿宋_GB2312"/>
          <w:bCs/>
          <w:sz w:val="32"/>
          <w:szCs w:val="32"/>
        </w:rPr>
        <w:t xml:space="preserve">                             </w:t>
      </w:r>
      <w:r>
        <w:rPr>
          <w:rFonts w:hint="eastAsia" w:ascii="仿宋_GB2312" w:hAnsi="宋体" w:eastAsia="仿宋_GB2312"/>
          <w:bCs/>
          <w:sz w:val="32"/>
          <w:szCs w:val="32"/>
          <w:lang w:val="en-US" w:eastAsia="zh-CN"/>
        </w:rPr>
        <w:t xml:space="preserve">  </w:t>
      </w:r>
      <w:r>
        <w:rPr>
          <w:rFonts w:hint="eastAsia" w:ascii="仿宋_GB2312" w:hAnsi="宋体" w:eastAsia="仿宋_GB2312"/>
          <w:bCs/>
          <w:sz w:val="32"/>
          <w:szCs w:val="32"/>
        </w:rPr>
        <w:t xml:space="preserve"> 20</w:t>
      </w:r>
      <w:r>
        <w:rPr>
          <w:rFonts w:hint="eastAsia" w:ascii="仿宋_GB2312" w:hAnsi="宋体" w:eastAsia="仿宋_GB2312"/>
          <w:bCs/>
          <w:sz w:val="32"/>
          <w:szCs w:val="32"/>
          <w:lang w:val="en-US" w:eastAsia="zh-CN"/>
        </w:rPr>
        <w:t>22</w:t>
      </w:r>
      <w:r>
        <w:rPr>
          <w:rFonts w:hint="eastAsia" w:ascii="仿宋_GB2312" w:hAnsi="宋体" w:eastAsia="仿宋_GB2312"/>
          <w:bCs/>
          <w:sz w:val="32"/>
          <w:szCs w:val="32"/>
        </w:rPr>
        <w:t>年</w:t>
      </w:r>
      <w:r>
        <w:rPr>
          <w:rFonts w:hint="eastAsia" w:ascii="仿宋_GB2312" w:hAnsi="宋体" w:eastAsia="仿宋_GB2312"/>
          <w:bCs/>
          <w:sz w:val="32"/>
          <w:szCs w:val="32"/>
          <w:lang w:val="en-US" w:eastAsia="zh-CN"/>
        </w:rPr>
        <w:t>1</w:t>
      </w:r>
      <w:r>
        <w:rPr>
          <w:rFonts w:hint="eastAsia" w:ascii="仿宋_GB2312" w:hAnsi="宋体" w:eastAsia="仿宋_GB2312"/>
          <w:bCs/>
          <w:sz w:val="32"/>
          <w:szCs w:val="32"/>
        </w:rPr>
        <w:t>月</w:t>
      </w:r>
      <w:r>
        <w:rPr>
          <w:rFonts w:hint="eastAsia" w:ascii="仿宋_GB2312" w:hAnsi="宋体" w:eastAsia="仿宋_GB2312"/>
          <w:bCs/>
          <w:sz w:val="32"/>
          <w:szCs w:val="32"/>
          <w:lang w:val="en-US" w:eastAsia="zh-CN"/>
        </w:rPr>
        <w:t>18</w:t>
      </w:r>
      <w:r>
        <w:rPr>
          <w:rFonts w:hint="eastAsia" w:ascii="仿宋_GB2312" w:hAnsi="宋体" w:eastAsia="仿宋_GB2312"/>
          <w:bCs/>
          <w:sz w:val="32"/>
          <w:szCs w:val="32"/>
        </w:rPr>
        <w:t>日</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jc w:val="left"/>
        <w:textAlignment w:val="auto"/>
        <w:outlineLvl w:val="9"/>
        <w:rPr>
          <w:rFonts w:ascii="仿宋_GB2312" w:eastAsia="仿宋_GB2312"/>
          <w:color w:val="000000"/>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left"/>
        <w:textAlignment w:val="auto"/>
        <w:outlineLvl w:val="9"/>
        <w:rPr>
          <w:rFonts w:ascii="仿宋_GB2312" w:eastAsia="仿宋_GB2312"/>
          <w:color w:val="000000"/>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textAlignment w:val="auto"/>
        <w:outlineLvl w:val="9"/>
        <w:rPr>
          <w:rFonts w:ascii="仿宋_GB2312" w:eastAsia="仿宋_GB2312"/>
          <w:color w:val="000000"/>
          <w:sz w:val="32"/>
          <w:szCs w:val="32"/>
        </w:rPr>
      </w:pPr>
    </w:p>
    <w:p>
      <w:pPr>
        <w:ind w:firstLine="6000" w:firstLineChars="2000"/>
        <w:rPr>
          <w:rFonts w:ascii="华文仿宋" w:hAnsi="华文仿宋" w:eastAsia="华文仿宋" w:cs="宋体"/>
          <w:kern w:val="0"/>
          <w:sz w:val="30"/>
          <w:szCs w:val="30"/>
        </w:rPr>
      </w:pPr>
    </w:p>
    <w:p>
      <w:pPr>
        <w:keepNext w:val="0"/>
        <w:keepLines w:val="0"/>
        <w:pageBreakBefore w:val="0"/>
        <w:widowControl w:val="0"/>
        <w:kinsoku/>
        <w:wordWrap/>
        <w:overflowPunct/>
        <w:topLinePunct w:val="0"/>
        <w:autoSpaceDE/>
        <w:autoSpaceDN/>
        <w:bidi w:val="0"/>
        <w:adjustRightInd/>
        <w:snapToGrid/>
        <w:spacing w:line="520" w:lineRule="exact"/>
        <w:ind w:right="0" w:rightChars="0"/>
        <w:jc w:val="center"/>
        <w:textAlignment w:val="auto"/>
        <w:rPr>
          <w:rFonts w:hint="eastAsia" w:ascii="方正小标宋简体" w:hAnsi="方正小标宋简体" w:eastAsia="方正小标宋简体" w:cs="方正小标宋简体"/>
          <w:b w:val="0"/>
          <w:bCs/>
          <w:spacing w:val="34"/>
          <w:sz w:val="44"/>
          <w:szCs w:val="44"/>
          <w:lang w:val="en-US" w:eastAsia="zh-CN"/>
        </w:rPr>
      </w:pPr>
      <w:bookmarkStart w:id="1" w:name="OLE_LINK10"/>
    </w:p>
    <w:p>
      <w:pPr>
        <w:keepNext w:val="0"/>
        <w:keepLines w:val="0"/>
        <w:pageBreakBefore w:val="0"/>
        <w:widowControl w:val="0"/>
        <w:kinsoku/>
        <w:wordWrap/>
        <w:overflowPunct/>
        <w:topLinePunct w:val="0"/>
        <w:autoSpaceDE/>
        <w:autoSpaceDN/>
        <w:bidi w:val="0"/>
        <w:adjustRightInd/>
        <w:snapToGrid/>
        <w:spacing w:line="520" w:lineRule="exact"/>
        <w:ind w:right="0" w:rightChars="0"/>
        <w:jc w:val="center"/>
        <w:textAlignment w:val="auto"/>
        <w:rPr>
          <w:rFonts w:hint="eastAsia" w:ascii="方正小标宋简体" w:hAnsi="方正小标宋简体" w:eastAsia="方正小标宋简体" w:cs="方正小标宋简体"/>
          <w:b w:val="0"/>
          <w:bCs/>
          <w:spacing w:val="34"/>
          <w:sz w:val="44"/>
          <w:szCs w:val="44"/>
          <w:lang w:val="en-US" w:eastAsia="zh-CN"/>
        </w:rPr>
      </w:pPr>
    </w:p>
    <w:p>
      <w:pPr>
        <w:keepNext w:val="0"/>
        <w:keepLines w:val="0"/>
        <w:pageBreakBefore w:val="0"/>
        <w:widowControl w:val="0"/>
        <w:kinsoku/>
        <w:wordWrap/>
        <w:overflowPunct/>
        <w:topLinePunct w:val="0"/>
        <w:autoSpaceDE/>
        <w:autoSpaceDN/>
        <w:bidi w:val="0"/>
        <w:adjustRightInd/>
        <w:snapToGrid/>
        <w:spacing w:line="520" w:lineRule="exact"/>
        <w:ind w:right="0" w:rightChars="0"/>
        <w:jc w:val="center"/>
        <w:textAlignment w:val="auto"/>
        <w:rPr>
          <w:rFonts w:hint="eastAsia" w:ascii="方正小标宋简体" w:hAnsi="方正小标宋简体" w:eastAsia="方正小标宋简体" w:cs="方正小标宋简体"/>
          <w:b w:val="0"/>
          <w:bCs/>
          <w:spacing w:val="34"/>
          <w:sz w:val="44"/>
          <w:szCs w:val="44"/>
          <w:lang w:val="en-US" w:eastAsia="zh-CN"/>
        </w:rPr>
      </w:pPr>
      <w:r>
        <w:rPr>
          <w:rFonts w:hint="eastAsia" w:ascii="方正小标宋简体" w:hAnsi="方正小标宋简体" w:eastAsia="方正小标宋简体" w:cs="方正小标宋简体"/>
          <w:b w:val="0"/>
          <w:bCs/>
          <w:spacing w:val="34"/>
          <w:sz w:val="44"/>
          <w:szCs w:val="44"/>
          <w:lang w:val="en-US" w:eastAsia="zh-CN"/>
        </w:rPr>
        <w:t>外国</w:t>
      </w:r>
      <w:bookmarkStart w:id="17" w:name="_GoBack"/>
      <w:bookmarkEnd w:id="17"/>
      <w:r>
        <w:rPr>
          <w:rFonts w:hint="eastAsia" w:ascii="方正小标宋简体" w:hAnsi="方正小标宋简体" w:eastAsia="方正小标宋简体" w:cs="方正小标宋简体"/>
          <w:b w:val="0"/>
          <w:bCs/>
          <w:spacing w:val="34"/>
          <w:sz w:val="44"/>
          <w:szCs w:val="44"/>
          <w:lang w:val="en-US" w:eastAsia="zh-CN"/>
        </w:rPr>
        <w:t>语学院“十四五”发展规划</w:t>
      </w:r>
    </w:p>
    <w:bookmarkEnd w:id="1"/>
    <w:p>
      <w:pPr>
        <w:pageBreakBefore w:val="0"/>
        <w:widowControl w:val="0"/>
        <w:tabs>
          <w:tab w:val="center" w:pos="4153"/>
          <w:tab w:val="right" w:pos="8306"/>
        </w:tabs>
        <w:kinsoku/>
        <w:wordWrap/>
        <w:overflowPunct/>
        <w:topLinePunct w:val="0"/>
        <w:autoSpaceDE/>
        <w:autoSpaceDN/>
        <w:bidi w:val="0"/>
        <w:spacing w:line="520" w:lineRule="exact"/>
        <w:ind w:firstLine="1827" w:firstLineChars="650"/>
        <w:jc w:val="both"/>
        <w:textAlignment w:val="auto"/>
        <w:rPr>
          <w:rFonts w:hint="eastAsia" w:ascii="仿宋_GB2312" w:hAnsi="仿宋" w:eastAsia="仿宋_GB2312"/>
          <w:b/>
          <w:color w:val="auto"/>
          <w:sz w:val="28"/>
          <w:szCs w:val="28"/>
        </w:rPr>
      </w:pPr>
      <w:r>
        <w:rPr>
          <w:rFonts w:hint="eastAsia" w:ascii="仿宋_GB2312" w:hAnsi="仿宋" w:eastAsia="仿宋_GB2312"/>
          <w:b/>
          <w:color w:val="auto"/>
          <w:sz w:val="28"/>
          <w:szCs w:val="28"/>
        </w:rPr>
        <w:tab/>
      </w:r>
    </w:p>
    <w:p>
      <w:pPr>
        <w:keepNext w:val="0"/>
        <w:keepLines w:val="0"/>
        <w:pageBreakBefore w:val="0"/>
        <w:widowControl w:val="0"/>
        <w:tabs>
          <w:tab w:val="center" w:pos="4153"/>
          <w:tab w:val="right" w:pos="8306"/>
        </w:tabs>
        <w:kinsoku/>
        <w:wordWrap/>
        <w:overflowPunct/>
        <w:topLinePunct w:val="0"/>
        <w:autoSpaceDE/>
        <w:autoSpaceDN/>
        <w:bidi w:val="0"/>
        <w:adjustRightInd/>
        <w:snapToGrid/>
        <w:spacing w:line="520" w:lineRule="exact"/>
        <w:ind w:firstLine="640" w:firstLineChars="200"/>
        <w:jc w:val="both"/>
        <w:textAlignment w:val="auto"/>
        <w:rPr>
          <w:rFonts w:hint="eastAsia" w:ascii="仿宋_GB2312" w:eastAsia="仿宋_GB2312"/>
          <w:sz w:val="32"/>
          <w:szCs w:val="32"/>
        </w:rPr>
      </w:pPr>
      <w:r>
        <w:rPr>
          <w:rFonts w:hint="eastAsia" w:ascii="方正仿宋_GB2312" w:hAnsi="方正仿宋_GB2312" w:eastAsia="方正仿宋_GB2312" w:cs="方正仿宋_GB2312"/>
          <w:color w:val="auto"/>
          <w:sz w:val="32"/>
          <w:szCs w:val="32"/>
        </w:rPr>
        <w:t>“</w:t>
      </w:r>
      <w:r>
        <w:rPr>
          <w:rFonts w:hint="eastAsia" w:ascii="仿宋_GB2312" w:eastAsia="仿宋_GB2312"/>
          <w:sz w:val="32"/>
          <w:szCs w:val="32"/>
        </w:rPr>
        <w:t>十四五”时期</w:t>
      </w:r>
      <w:r>
        <w:rPr>
          <w:rFonts w:hint="eastAsia" w:ascii="仿宋_GB2312" w:eastAsia="仿宋_GB2312"/>
          <w:sz w:val="32"/>
          <w:szCs w:val="32"/>
          <w:lang w:eastAsia="zh-CN"/>
        </w:rPr>
        <w:t>是</w:t>
      </w:r>
      <w:r>
        <w:rPr>
          <w:rFonts w:hint="eastAsia" w:ascii="仿宋_GB2312" w:eastAsia="仿宋_GB2312"/>
          <w:sz w:val="32"/>
          <w:szCs w:val="32"/>
        </w:rPr>
        <w:t>我校改革发展</w:t>
      </w:r>
      <w:r>
        <w:rPr>
          <w:rFonts w:hint="eastAsia" w:ascii="仿宋_GB2312" w:eastAsia="仿宋_GB2312"/>
          <w:sz w:val="32"/>
          <w:szCs w:val="32"/>
          <w:lang w:eastAsia="zh-CN"/>
        </w:rPr>
        <w:t>的</w:t>
      </w:r>
      <w:r>
        <w:rPr>
          <w:rFonts w:hint="eastAsia" w:ascii="仿宋_GB2312" w:eastAsia="仿宋_GB2312"/>
          <w:sz w:val="32"/>
          <w:szCs w:val="32"/>
        </w:rPr>
        <w:t>关键时期，也</w:t>
      </w:r>
      <w:r>
        <w:rPr>
          <w:rFonts w:hint="eastAsia" w:ascii="仿宋_GB2312" w:eastAsia="仿宋_GB2312"/>
          <w:sz w:val="32"/>
          <w:szCs w:val="32"/>
          <w:lang w:eastAsia="zh-CN"/>
        </w:rPr>
        <w:t>是</w:t>
      </w:r>
      <w:r>
        <w:rPr>
          <w:rFonts w:hint="eastAsia" w:ascii="仿宋_GB2312" w:eastAsia="仿宋_GB2312"/>
          <w:sz w:val="32"/>
          <w:szCs w:val="32"/>
        </w:rPr>
        <w:t>学院发展</w:t>
      </w:r>
      <w:r>
        <w:rPr>
          <w:rFonts w:hint="eastAsia" w:ascii="仿宋_GB2312" w:eastAsia="仿宋_GB2312"/>
          <w:sz w:val="32"/>
          <w:szCs w:val="32"/>
          <w:lang w:eastAsia="zh-CN"/>
        </w:rPr>
        <w:t>的</w:t>
      </w:r>
      <w:r>
        <w:rPr>
          <w:rFonts w:hint="eastAsia" w:ascii="仿宋_GB2312" w:eastAsia="仿宋_GB2312"/>
          <w:sz w:val="32"/>
          <w:szCs w:val="32"/>
        </w:rPr>
        <w:t>重要战略机遇</w:t>
      </w:r>
      <w:r>
        <w:rPr>
          <w:rFonts w:hint="eastAsia" w:ascii="仿宋_GB2312" w:eastAsia="仿宋_GB2312"/>
          <w:sz w:val="32"/>
          <w:szCs w:val="32"/>
          <w:lang w:eastAsia="zh-CN"/>
        </w:rPr>
        <w:t>期</w:t>
      </w:r>
      <w:r>
        <w:rPr>
          <w:rFonts w:hint="eastAsia" w:ascii="仿宋_GB2312" w:eastAsia="仿宋_GB2312"/>
          <w:sz w:val="32"/>
          <w:szCs w:val="32"/>
        </w:rPr>
        <w:t>。《湖州师范学院“十四五”发展规划》为</w:t>
      </w:r>
      <w:r>
        <w:rPr>
          <w:rFonts w:hint="eastAsia" w:ascii="仿宋_GB2312" w:eastAsia="仿宋_GB2312"/>
          <w:sz w:val="32"/>
          <w:szCs w:val="32"/>
          <w:lang w:eastAsia="zh-CN"/>
        </w:rPr>
        <w:t>外国语</w:t>
      </w:r>
      <w:r>
        <w:rPr>
          <w:rFonts w:hint="eastAsia" w:ascii="仿宋_GB2312" w:eastAsia="仿宋_GB2312"/>
          <w:sz w:val="32"/>
          <w:szCs w:val="32"/>
        </w:rPr>
        <w:t>学院指明了</w:t>
      </w:r>
      <w:r>
        <w:rPr>
          <w:rFonts w:hint="eastAsia" w:ascii="仿宋_GB2312" w:eastAsia="仿宋_GB2312"/>
          <w:sz w:val="32"/>
          <w:szCs w:val="32"/>
          <w:lang w:eastAsia="zh-CN"/>
        </w:rPr>
        <w:t>发展</w:t>
      </w:r>
      <w:r>
        <w:rPr>
          <w:rFonts w:hint="eastAsia" w:ascii="仿宋_GB2312" w:eastAsia="仿宋_GB2312"/>
          <w:sz w:val="32"/>
          <w:szCs w:val="32"/>
        </w:rPr>
        <w:t>方向、廓清了</w:t>
      </w:r>
      <w:r>
        <w:rPr>
          <w:rFonts w:hint="eastAsia" w:ascii="仿宋_GB2312" w:eastAsia="仿宋_GB2312"/>
          <w:sz w:val="32"/>
          <w:szCs w:val="32"/>
          <w:lang w:eastAsia="zh-CN"/>
        </w:rPr>
        <w:t>发展</w:t>
      </w:r>
      <w:r>
        <w:rPr>
          <w:rFonts w:hint="eastAsia" w:ascii="仿宋_GB2312" w:eastAsia="仿宋_GB2312"/>
          <w:sz w:val="32"/>
          <w:szCs w:val="32"/>
        </w:rPr>
        <w:t>思路。外国语学院</w:t>
      </w:r>
      <w:r>
        <w:rPr>
          <w:rFonts w:hint="eastAsia" w:ascii="仿宋_GB2312" w:eastAsia="仿宋_GB2312"/>
          <w:sz w:val="32"/>
          <w:szCs w:val="32"/>
          <w:lang w:eastAsia="zh-CN"/>
        </w:rPr>
        <w:t>在</w:t>
      </w:r>
      <w:r>
        <w:rPr>
          <w:rFonts w:hint="eastAsia" w:ascii="仿宋_GB2312" w:eastAsia="仿宋_GB2312"/>
          <w:sz w:val="32"/>
          <w:szCs w:val="32"/>
        </w:rPr>
        <w:t>认真学习</w:t>
      </w:r>
      <w:r>
        <w:rPr>
          <w:rFonts w:hint="eastAsia" w:ascii="仿宋_GB2312" w:eastAsia="仿宋_GB2312"/>
          <w:sz w:val="32"/>
          <w:szCs w:val="32"/>
          <w:lang w:eastAsia="zh-CN"/>
        </w:rPr>
        <w:t>、</w:t>
      </w:r>
      <w:r>
        <w:rPr>
          <w:rFonts w:hint="eastAsia" w:ascii="仿宋_GB2312" w:eastAsia="仿宋_GB2312"/>
          <w:sz w:val="32"/>
          <w:szCs w:val="32"/>
        </w:rPr>
        <w:t>深入领会文件精神</w:t>
      </w:r>
      <w:r>
        <w:rPr>
          <w:rFonts w:hint="eastAsia" w:ascii="仿宋_GB2312" w:eastAsia="仿宋_GB2312"/>
          <w:sz w:val="32"/>
          <w:szCs w:val="32"/>
          <w:lang w:val="en-US" w:eastAsia="zh-CN"/>
        </w:rPr>
        <w:t>并</w:t>
      </w:r>
      <w:r>
        <w:rPr>
          <w:rFonts w:hint="eastAsia" w:ascii="仿宋_GB2312" w:eastAsia="仿宋_GB2312"/>
          <w:sz w:val="32"/>
          <w:szCs w:val="32"/>
        </w:rPr>
        <w:t>广泛征求意见的基础上，经过充分讨论和认真研究，以该规划为指导，制定了学院“十四五”发展规划。</w:t>
      </w:r>
      <w:bookmarkStart w:id="2" w:name="_Toc453164561"/>
    </w:p>
    <w:p>
      <w:pPr>
        <w:keepNext w:val="0"/>
        <w:keepLines w:val="0"/>
        <w:pageBreakBefore w:val="0"/>
        <w:widowControl w:val="0"/>
        <w:tabs>
          <w:tab w:val="center" w:pos="4153"/>
          <w:tab w:val="right" w:pos="8306"/>
        </w:tabs>
        <w:kinsoku/>
        <w:wordWrap/>
        <w:overflowPunct/>
        <w:topLinePunct w:val="0"/>
        <w:autoSpaceDE/>
        <w:autoSpaceDN/>
        <w:bidi w:val="0"/>
        <w:adjustRightInd/>
        <w:snapToGrid/>
        <w:spacing w:line="520" w:lineRule="exact"/>
        <w:ind w:firstLine="640" w:firstLineChars="200"/>
        <w:jc w:val="both"/>
        <w:textAlignment w:val="auto"/>
        <w:rPr>
          <w:rFonts w:hint="eastAsia" w:ascii="黑体" w:hAnsi="黑体" w:eastAsia="黑体" w:cs="黑体"/>
          <w:b w:val="0"/>
          <w:color w:val="auto"/>
          <w:sz w:val="32"/>
          <w:szCs w:val="32"/>
        </w:rPr>
      </w:pPr>
      <w:r>
        <w:rPr>
          <w:rFonts w:hint="eastAsia" w:ascii="黑体" w:hAnsi="黑体" w:eastAsia="黑体" w:cs="黑体"/>
          <w:b w:val="0"/>
          <w:color w:val="auto"/>
          <w:sz w:val="32"/>
          <w:szCs w:val="32"/>
        </w:rPr>
        <w:t>一、</w:t>
      </w:r>
      <w:bookmarkEnd w:id="2"/>
      <w:r>
        <w:rPr>
          <w:rFonts w:hint="eastAsia" w:ascii="黑体" w:hAnsi="黑体" w:eastAsia="黑体" w:cs="黑体"/>
          <w:b w:val="0"/>
          <w:color w:val="auto"/>
          <w:kern w:val="0"/>
          <w:sz w:val="32"/>
          <w:szCs w:val="32"/>
        </w:rPr>
        <w:t>学院建设与发展的基础和面临的形势</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rPr>
          <w:rFonts w:hint="eastAsia" w:ascii="方正仿宋_GB2312" w:hAnsi="方正仿宋_GB2312" w:eastAsia="方正仿宋_GB2312" w:cs="方正仿宋_GB2312"/>
          <w:bCs/>
          <w:color w:val="auto"/>
          <w:sz w:val="32"/>
          <w:szCs w:val="32"/>
        </w:rPr>
      </w:pPr>
      <w:r>
        <w:rPr>
          <w:rFonts w:hint="eastAsia" w:ascii="方正仿宋_GB2312" w:hAnsi="方正仿宋_GB2312" w:eastAsia="方正仿宋_GB2312" w:cs="方正仿宋_GB2312"/>
          <w:bCs/>
          <w:color w:val="auto"/>
          <w:sz w:val="32"/>
          <w:szCs w:val="32"/>
        </w:rPr>
        <w:t>“十三五”期间，学院在基本完成外延式发展的前提下，狠抓内涵建设、特色发展，在学科、师资队伍、课程建设</w:t>
      </w:r>
      <w:r>
        <w:rPr>
          <w:rFonts w:hint="eastAsia" w:ascii="方正仿宋_GB2312" w:hAnsi="方正仿宋_GB2312" w:eastAsia="方正仿宋_GB2312" w:cs="方正仿宋_GB2312"/>
          <w:bCs/>
          <w:color w:val="auto"/>
          <w:sz w:val="32"/>
          <w:szCs w:val="32"/>
          <w:lang w:eastAsia="zh-CN"/>
        </w:rPr>
        <w:t>、</w:t>
      </w:r>
      <w:r>
        <w:rPr>
          <w:rFonts w:hint="eastAsia" w:ascii="方正仿宋_GB2312" w:hAnsi="方正仿宋_GB2312" w:eastAsia="方正仿宋_GB2312" w:cs="方正仿宋_GB2312"/>
          <w:bCs/>
          <w:color w:val="auto"/>
          <w:sz w:val="32"/>
          <w:szCs w:val="32"/>
        </w:rPr>
        <w:t>教研水平</w:t>
      </w:r>
      <w:r>
        <w:rPr>
          <w:rFonts w:hint="eastAsia" w:ascii="方正仿宋_GB2312" w:hAnsi="方正仿宋_GB2312" w:eastAsia="方正仿宋_GB2312" w:cs="方正仿宋_GB2312"/>
          <w:bCs/>
          <w:color w:val="auto"/>
          <w:sz w:val="32"/>
          <w:szCs w:val="32"/>
          <w:lang w:eastAsia="zh-CN"/>
        </w:rPr>
        <w:t>、</w:t>
      </w:r>
      <w:r>
        <w:rPr>
          <w:rFonts w:hint="eastAsia" w:ascii="方正仿宋_GB2312" w:hAnsi="方正仿宋_GB2312" w:eastAsia="方正仿宋_GB2312" w:cs="方正仿宋_GB2312"/>
          <w:bCs/>
          <w:color w:val="auto"/>
          <w:sz w:val="32"/>
          <w:szCs w:val="32"/>
        </w:rPr>
        <w:t>人才培养等方面，取得了较好成绩，为“十四五”期间学院的进一步发展奠定了良好基础。</w:t>
      </w:r>
      <w:bookmarkStart w:id="3" w:name="_Toc20940"/>
      <w:bookmarkStart w:id="4" w:name="_Toc453164562"/>
    </w:p>
    <w:p>
      <w:pPr>
        <w:keepNext w:val="0"/>
        <w:keepLines w:val="0"/>
        <w:pageBreakBefore w:val="0"/>
        <w:widowControl w:val="0"/>
        <w:kinsoku/>
        <w:wordWrap/>
        <w:overflowPunct/>
        <w:topLinePunct w:val="0"/>
        <w:autoSpaceDE/>
        <w:autoSpaceDN/>
        <w:bidi w:val="0"/>
        <w:adjustRightInd/>
        <w:snapToGrid/>
        <w:spacing w:line="520" w:lineRule="exact"/>
        <w:ind w:firstLine="643" w:firstLineChars="200"/>
        <w:jc w:val="both"/>
        <w:textAlignment w:val="auto"/>
        <w:rPr>
          <w:rFonts w:hint="eastAsia" w:ascii="楷体" w:hAnsi="楷体" w:eastAsia="楷体" w:cs="楷体"/>
          <w:b/>
          <w:bCs w:val="0"/>
          <w:color w:val="auto"/>
          <w:sz w:val="32"/>
          <w:szCs w:val="32"/>
        </w:rPr>
      </w:pPr>
      <w:r>
        <w:rPr>
          <w:rFonts w:hint="eastAsia" w:ascii="楷体" w:hAnsi="楷体" w:eastAsia="楷体" w:cs="楷体"/>
          <w:b/>
          <w:bCs w:val="0"/>
          <w:color w:val="auto"/>
          <w:sz w:val="32"/>
          <w:szCs w:val="32"/>
        </w:rPr>
        <w:t>（一）“十三五”时期</w:t>
      </w:r>
      <w:bookmarkEnd w:id="3"/>
      <w:bookmarkEnd w:id="4"/>
      <w:r>
        <w:rPr>
          <w:rFonts w:hint="eastAsia" w:ascii="楷体" w:hAnsi="楷体" w:eastAsia="楷体" w:cs="楷体"/>
          <w:b/>
          <w:bCs w:val="0"/>
          <w:color w:val="auto"/>
          <w:sz w:val="32"/>
          <w:szCs w:val="32"/>
        </w:rPr>
        <w:t>取得的主要成绩</w:t>
      </w:r>
    </w:p>
    <w:p>
      <w:pPr>
        <w:keepNext w:val="0"/>
        <w:keepLines w:val="0"/>
        <w:pageBreakBefore w:val="0"/>
        <w:widowControl w:val="0"/>
        <w:kinsoku/>
        <w:wordWrap/>
        <w:overflowPunct/>
        <w:topLinePunct w:val="0"/>
        <w:autoSpaceDE/>
        <w:autoSpaceDN/>
        <w:bidi w:val="0"/>
        <w:adjustRightInd/>
        <w:snapToGrid/>
        <w:spacing w:line="520" w:lineRule="exact"/>
        <w:ind w:firstLine="643" w:firstLineChars="200"/>
        <w:jc w:val="both"/>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b/>
          <w:color w:val="auto"/>
          <w:sz w:val="32"/>
          <w:szCs w:val="32"/>
        </w:rPr>
        <w:t>学科建设取得新突破</w:t>
      </w:r>
      <w:r>
        <w:rPr>
          <w:rFonts w:hint="eastAsia" w:ascii="方正仿宋_GB2312" w:hAnsi="方正仿宋_GB2312" w:eastAsia="方正仿宋_GB2312" w:cs="方正仿宋_GB2312"/>
          <w:b/>
          <w:color w:val="auto"/>
          <w:sz w:val="32"/>
          <w:szCs w:val="32"/>
          <w:lang w:eastAsia="zh-CN"/>
        </w:rPr>
        <w:t>。</w:t>
      </w:r>
      <w:r>
        <w:rPr>
          <w:rFonts w:hint="eastAsia" w:ascii="方正仿宋_GB2312" w:hAnsi="方正仿宋_GB2312" w:eastAsia="方正仿宋_GB2312" w:cs="方正仿宋_GB2312"/>
          <w:color w:val="auto"/>
          <w:sz w:val="32"/>
          <w:szCs w:val="32"/>
        </w:rPr>
        <w:t>外国语言文学被列为“十三五”校级重点学科。学院目前已初步形成翻译、应用语言学、外国文学、英语教学四个研究方向。在英语、日语专业基础上，2017年新增俄语专业。大学外语教学部承担着全校本专科生、研究生大学英语等教学任务。</w:t>
      </w:r>
    </w:p>
    <w:p>
      <w:pPr>
        <w:keepNext w:val="0"/>
        <w:keepLines w:val="0"/>
        <w:pageBreakBefore w:val="0"/>
        <w:widowControl w:val="0"/>
        <w:kinsoku/>
        <w:wordWrap/>
        <w:overflowPunct/>
        <w:topLinePunct w:val="0"/>
        <w:autoSpaceDE/>
        <w:autoSpaceDN/>
        <w:bidi w:val="0"/>
        <w:adjustRightInd/>
        <w:snapToGrid/>
        <w:spacing w:line="520" w:lineRule="exact"/>
        <w:ind w:firstLine="643" w:firstLineChars="200"/>
        <w:jc w:val="both"/>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b/>
          <w:color w:val="auto"/>
          <w:sz w:val="32"/>
          <w:szCs w:val="32"/>
        </w:rPr>
        <w:t>师资队伍建设成效凸显。</w:t>
      </w:r>
      <w:r>
        <w:rPr>
          <w:rFonts w:hint="eastAsia" w:ascii="方正仿宋_GB2312" w:hAnsi="方正仿宋_GB2312" w:eastAsia="方正仿宋_GB2312" w:cs="方正仿宋_GB2312"/>
          <w:color w:val="auto"/>
          <w:sz w:val="32"/>
          <w:szCs w:val="32"/>
        </w:rPr>
        <w:t>学院教职工总数85人，专任教师队伍总数76人，专任教师中具有博士学位教师20人，比例达到26%，国（境）外访学三个月以上专任教师达到30%以上，“双师双能型”教师比例大幅提升，圆满完成“十三五”目标。引进B2类型学科带头人1人。1人入选“南太湖”优秀文化人才；2人获陆增镛教师奖。</w:t>
      </w:r>
    </w:p>
    <w:p>
      <w:pPr>
        <w:keepNext w:val="0"/>
        <w:keepLines w:val="0"/>
        <w:pageBreakBefore w:val="0"/>
        <w:widowControl w:val="0"/>
        <w:kinsoku/>
        <w:wordWrap/>
        <w:overflowPunct/>
        <w:topLinePunct w:val="0"/>
        <w:autoSpaceDE/>
        <w:autoSpaceDN/>
        <w:bidi w:val="0"/>
        <w:adjustRightInd/>
        <w:snapToGrid/>
        <w:spacing w:line="520" w:lineRule="exact"/>
        <w:ind w:firstLine="643" w:firstLineChars="200"/>
        <w:jc w:val="both"/>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b/>
          <w:color w:val="auto"/>
          <w:sz w:val="32"/>
          <w:szCs w:val="32"/>
        </w:rPr>
        <w:t>科学研究水平持续提升。</w:t>
      </w:r>
      <w:r>
        <w:rPr>
          <w:rFonts w:hint="eastAsia" w:ascii="方正仿宋_GB2312" w:hAnsi="方正仿宋_GB2312" w:eastAsia="方正仿宋_GB2312" w:cs="方正仿宋_GB2312"/>
          <w:color w:val="auto"/>
          <w:sz w:val="32"/>
          <w:szCs w:val="32"/>
        </w:rPr>
        <w:t>科研立项实现重大突破，获1项国家社科基金中华学术外译项目、6项省部级科研项目、市厅级项目16项。发表一级以上期刊论文著作12篇(部)。获得市社科成果奖2项。服务地方能力渐强，2020年横向项目到账经费达105.2万元；五年来组织八个批次、20余个项目、40余期省中小学英语教师培训，培训1500余人次。</w:t>
      </w:r>
    </w:p>
    <w:p>
      <w:pPr>
        <w:keepNext w:val="0"/>
        <w:keepLines w:val="0"/>
        <w:pageBreakBefore w:val="0"/>
        <w:widowControl w:val="0"/>
        <w:kinsoku/>
        <w:wordWrap/>
        <w:overflowPunct/>
        <w:topLinePunct w:val="0"/>
        <w:autoSpaceDE/>
        <w:autoSpaceDN/>
        <w:bidi w:val="0"/>
        <w:adjustRightInd/>
        <w:snapToGrid/>
        <w:spacing w:line="520" w:lineRule="exact"/>
        <w:ind w:firstLine="643" w:firstLineChars="200"/>
        <w:jc w:val="both"/>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b/>
          <w:color w:val="auto"/>
          <w:sz w:val="32"/>
          <w:szCs w:val="32"/>
        </w:rPr>
        <w:t>办学条件有了较大改善</w:t>
      </w:r>
      <w:r>
        <w:rPr>
          <w:rFonts w:hint="eastAsia" w:ascii="方正仿宋_GB2312" w:hAnsi="方正仿宋_GB2312" w:eastAsia="方正仿宋_GB2312" w:cs="方正仿宋_GB2312"/>
          <w:b/>
          <w:color w:val="auto"/>
          <w:sz w:val="32"/>
          <w:szCs w:val="32"/>
          <w:lang w:eastAsia="zh-CN"/>
        </w:rPr>
        <w:t>。</w:t>
      </w:r>
      <w:r>
        <w:rPr>
          <w:rFonts w:hint="eastAsia" w:ascii="方正仿宋_GB2312" w:hAnsi="方正仿宋_GB2312" w:eastAsia="方正仿宋_GB2312" w:cs="方正仿宋_GB2312"/>
          <w:color w:val="auto"/>
          <w:sz w:val="32"/>
          <w:szCs w:val="32"/>
        </w:rPr>
        <w:t>外语语言实验教学中心获批浙江省实验教学示范中心。实验中心建设围绕特色专业与重点学科建设，为教学提供了良好的服务平台。2020年，在学校大力支持下，投入140万元资金，对4间语音室进行改造，实验条件得到大幅改善。</w:t>
      </w:r>
    </w:p>
    <w:p>
      <w:pPr>
        <w:keepNext w:val="0"/>
        <w:keepLines w:val="0"/>
        <w:pageBreakBefore w:val="0"/>
        <w:widowControl w:val="0"/>
        <w:kinsoku/>
        <w:wordWrap/>
        <w:overflowPunct/>
        <w:topLinePunct w:val="0"/>
        <w:autoSpaceDE/>
        <w:autoSpaceDN/>
        <w:bidi w:val="0"/>
        <w:adjustRightInd/>
        <w:snapToGrid/>
        <w:spacing w:line="520" w:lineRule="exact"/>
        <w:ind w:firstLine="643" w:firstLineChars="200"/>
        <w:jc w:val="both"/>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b/>
          <w:color w:val="auto"/>
          <w:sz w:val="32"/>
          <w:szCs w:val="32"/>
        </w:rPr>
        <w:t>本科教学水平创新发展。</w:t>
      </w:r>
      <w:r>
        <w:rPr>
          <w:rFonts w:hint="eastAsia" w:ascii="方正仿宋_GB2312" w:hAnsi="方正仿宋_GB2312" w:eastAsia="方正仿宋_GB2312" w:cs="方正仿宋_GB2312"/>
          <w:color w:val="auto"/>
          <w:sz w:val="32"/>
          <w:szCs w:val="32"/>
        </w:rPr>
        <w:t>2016年，俄语专业正式获批；2017年，学院顺利通过教育部本科教学工作审核评估；2019年，英语专业成功入选学校“国家一流专业培育计划”。《大学英语》课程推行了分层、分级教学。近五年，获批省级教改课改项目7项、教育部产学研项目5项，出版教材4部，在建浙江省精品在线开放课程4项，《英语阅读》课程被认定为2019年浙江省一流课程,获校级教学成果奖5项。</w:t>
      </w:r>
    </w:p>
    <w:p>
      <w:pPr>
        <w:keepNext w:val="0"/>
        <w:keepLines w:val="0"/>
        <w:pageBreakBefore w:val="0"/>
        <w:widowControl w:val="0"/>
        <w:kinsoku/>
        <w:wordWrap/>
        <w:overflowPunct/>
        <w:topLinePunct w:val="0"/>
        <w:autoSpaceDE/>
        <w:autoSpaceDN/>
        <w:bidi w:val="0"/>
        <w:adjustRightInd/>
        <w:snapToGrid/>
        <w:spacing w:line="520" w:lineRule="exact"/>
        <w:ind w:firstLine="643" w:firstLineChars="200"/>
        <w:jc w:val="both"/>
        <w:textAlignment w:val="auto"/>
        <w:rPr>
          <w:rFonts w:hint="eastAsia" w:ascii="方正仿宋_GB2312" w:hAnsi="方正仿宋_GB2312" w:eastAsia="方正仿宋_GB2312" w:cs="方正仿宋_GB2312"/>
          <w:b/>
          <w:color w:val="auto"/>
          <w:sz w:val="32"/>
          <w:szCs w:val="32"/>
        </w:rPr>
      </w:pPr>
      <w:r>
        <w:rPr>
          <w:rFonts w:hint="eastAsia" w:ascii="方正仿宋_GB2312" w:hAnsi="方正仿宋_GB2312" w:eastAsia="方正仿宋_GB2312" w:cs="方正仿宋_GB2312"/>
          <w:b/>
          <w:color w:val="auto"/>
          <w:sz w:val="32"/>
          <w:szCs w:val="32"/>
        </w:rPr>
        <w:t>人才培养质量显著提升。</w:t>
      </w:r>
      <w:r>
        <w:rPr>
          <w:rFonts w:hint="eastAsia" w:ascii="方正仿宋_GB2312" w:hAnsi="方正仿宋_GB2312" w:eastAsia="方正仿宋_GB2312" w:cs="方正仿宋_GB2312"/>
          <w:color w:val="auto"/>
          <w:sz w:val="32"/>
          <w:szCs w:val="32"/>
        </w:rPr>
        <w:t>“十三五”末，共有全日制在校生689人。英语专业本科生专四、专八平均通过率为88.9%和61%，师范生教师资格证一次性通过率稳定在85%以上。学生获国家、省级学科竞赛 56 项。获国家级大学生创新创业训练计划项目 8 项，浙江省新苗人才计划项目 2 项，校级科研立项 58 项。学院考研氛围日益浓厚，学生报考率和考研录取率实现大幅度提升，2020届学生报考率达51.04%，录取率达16.7%，比2016届学生录取率高出8.7%。</w:t>
      </w:r>
    </w:p>
    <w:p>
      <w:pPr>
        <w:keepNext w:val="0"/>
        <w:keepLines w:val="0"/>
        <w:pageBreakBefore w:val="0"/>
        <w:widowControl w:val="0"/>
        <w:kinsoku/>
        <w:wordWrap/>
        <w:overflowPunct/>
        <w:topLinePunct w:val="0"/>
        <w:autoSpaceDE/>
        <w:autoSpaceDN/>
        <w:bidi w:val="0"/>
        <w:adjustRightInd/>
        <w:snapToGrid/>
        <w:spacing w:line="520" w:lineRule="exact"/>
        <w:ind w:firstLine="643" w:firstLineChars="200"/>
        <w:jc w:val="both"/>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b/>
          <w:color w:val="auto"/>
          <w:sz w:val="32"/>
          <w:szCs w:val="32"/>
        </w:rPr>
        <w:t>教育国际化激发活力。</w:t>
      </w:r>
      <w:r>
        <w:rPr>
          <w:rFonts w:hint="eastAsia" w:ascii="方正仿宋_GB2312" w:hAnsi="方正仿宋_GB2312" w:eastAsia="方正仿宋_GB2312" w:cs="方正仿宋_GB2312"/>
          <w:color w:val="auto"/>
          <w:sz w:val="32"/>
          <w:szCs w:val="32"/>
        </w:rPr>
        <w:t>2016年与日本山口大学签订合作交流协议，四年来共派出10名日语专业学生免学费赴该校留学1年，日语专业进行了夏令营、海外实习的国际合作新探索；2019年，俄语专业与阿塞拜疆语言大学孔子学院首次实现夏令营学生互派，学院接纳了来自阿塞拜疆语言大学孔子学院的19位师生，派出俄语专业的20位同学赴阿塞拜疆语言大学进行语言研修活动。</w:t>
      </w:r>
    </w:p>
    <w:p>
      <w:pPr>
        <w:keepNext w:val="0"/>
        <w:keepLines w:val="0"/>
        <w:pageBreakBefore w:val="0"/>
        <w:widowControl w:val="0"/>
        <w:kinsoku/>
        <w:wordWrap/>
        <w:overflowPunct/>
        <w:topLinePunct w:val="0"/>
        <w:autoSpaceDE/>
        <w:autoSpaceDN/>
        <w:bidi w:val="0"/>
        <w:adjustRightInd/>
        <w:snapToGrid/>
        <w:spacing w:line="520" w:lineRule="exact"/>
        <w:ind w:firstLine="643" w:firstLineChars="200"/>
        <w:jc w:val="both"/>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b/>
          <w:color w:val="auto"/>
          <w:sz w:val="32"/>
          <w:szCs w:val="32"/>
        </w:rPr>
        <w:t>党建思政工作强基固本。</w:t>
      </w:r>
      <w:r>
        <w:rPr>
          <w:rFonts w:hint="eastAsia" w:ascii="方正仿宋_GB2312" w:hAnsi="方正仿宋_GB2312" w:eastAsia="方正仿宋_GB2312" w:cs="方正仿宋_GB2312"/>
          <w:color w:val="auto"/>
          <w:sz w:val="32"/>
          <w:szCs w:val="32"/>
        </w:rPr>
        <w:t>扎实开展各类主题教育，通过固本强基、实践锤炼、典型引领、品牌创建“四大工程”，不断夯实师生党建工作，为学院“十四五”发展提供了良好的思想基础和制度保障。选优配强党支部书记，除行政教工党支部外，其余三个教工支部均实现“双带头人”教师担任支部书记。学生第二党支部获评校“党支部建设创新奖”。注重志愿服务基地化、团队化、项目化建设，获团市委、民政局校外公益项目4项，译江南志愿服务团获评湖州市青年文明号，大学生翻译服务中心荣获湖州市优秀志愿服务集体，高铁志愿服务队连续三年荣获“共青团全国铁道委员会</w:t>
      </w:r>
      <w:r>
        <w:rPr>
          <w:rFonts w:ascii="Arial" w:hAnsi="Arial" w:eastAsia="宋体" w:cs="Arial"/>
          <w:i w:val="0"/>
          <w:iCs w:val="0"/>
          <w:caps w:val="0"/>
          <w:color w:val="333333"/>
          <w:spacing w:val="0"/>
          <w:sz w:val="19"/>
          <w:szCs w:val="19"/>
          <w:shd w:val="clear" w:color="auto" w:fill="FFFFFF"/>
        </w:rPr>
        <w:t>——</w:t>
      </w:r>
      <w:r>
        <w:rPr>
          <w:rFonts w:hint="eastAsia" w:ascii="方正仿宋_GB2312" w:hAnsi="方正仿宋_GB2312" w:eastAsia="方正仿宋_GB2312" w:cs="方正仿宋_GB2312"/>
          <w:color w:val="auto"/>
          <w:sz w:val="32"/>
          <w:szCs w:val="32"/>
        </w:rPr>
        <w:t>铁路春运青年志愿者优秀组织奖。</w:t>
      </w:r>
      <w:bookmarkStart w:id="5" w:name="_Toc453164563"/>
      <w:bookmarkStart w:id="6" w:name="_Toc23931"/>
    </w:p>
    <w:p>
      <w:pPr>
        <w:keepNext w:val="0"/>
        <w:keepLines w:val="0"/>
        <w:pageBreakBefore w:val="0"/>
        <w:widowControl w:val="0"/>
        <w:kinsoku/>
        <w:wordWrap/>
        <w:overflowPunct/>
        <w:topLinePunct w:val="0"/>
        <w:autoSpaceDE/>
        <w:autoSpaceDN/>
        <w:bidi w:val="0"/>
        <w:adjustRightInd/>
        <w:snapToGrid/>
        <w:spacing w:line="520" w:lineRule="exact"/>
        <w:ind w:firstLine="643" w:firstLineChars="200"/>
        <w:jc w:val="both"/>
        <w:textAlignment w:val="auto"/>
        <w:rPr>
          <w:rFonts w:hint="eastAsia" w:ascii="楷体" w:hAnsi="楷体" w:eastAsia="楷体" w:cs="楷体"/>
          <w:b/>
          <w:bCs w:val="0"/>
          <w:color w:val="auto"/>
          <w:sz w:val="32"/>
          <w:szCs w:val="32"/>
        </w:rPr>
      </w:pPr>
      <w:r>
        <w:rPr>
          <w:rFonts w:hint="eastAsia" w:ascii="楷体" w:hAnsi="楷体" w:eastAsia="楷体" w:cs="楷体"/>
          <w:b/>
          <w:bCs w:val="0"/>
          <w:color w:val="auto"/>
          <w:sz w:val="32"/>
          <w:szCs w:val="32"/>
        </w:rPr>
        <w:t>（二）学院发展存在的问题和</w:t>
      </w:r>
      <w:bookmarkEnd w:id="5"/>
      <w:bookmarkEnd w:id="6"/>
      <w:r>
        <w:rPr>
          <w:rFonts w:hint="eastAsia" w:ascii="楷体" w:hAnsi="楷体" w:eastAsia="楷体" w:cs="楷体"/>
          <w:b/>
          <w:bCs w:val="0"/>
          <w:color w:val="auto"/>
          <w:sz w:val="32"/>
          <w:szCs w:val="32"/>
        </w:rPr>
        <w:t>挑战</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rPr>
          <w:rFonts w:hint="eastAsia" w:ascii="方正仿宋_GB2312" w:hAnsi="方正仿宋_GB2312" w:eastAsia="方正仿宋_GB2312" w:cs="方正仿宋_GB2312"/>
          <w:color w:val="auto"/>
          <w:sz w:val="32"/>
          <w:szCs w:val="32"/>
          <w:lang w:eastAsia="zh-CN"/>
        </w:rPr>
      </w:pPr>
      <w:bookmarkStart w:id="7" w:name="_Toc19485"/>
      <w:r>
        <w:rPr>
          <w:rFonts w:hint="eastAsia" w:ascii="方正仿宋_GB2312" w:hAnsi="方正仿宋_GB2312" w:eastAsia="方正仿宋_GB2312" w:cs="方正仿宋_GB2312"/>
          <w:color w:val="auto"/>
          <w:sz w:val="32"/>
          <w:szCs w:val="32"/>
        </w:rPr>
        <w:t>学院十三五期间虽然取得了一系列成绩，但仍然存在着一些问题和挑战</w:t>
      </w:r>
      <w:r>
        <w:rPr>
          <w:rFonts w:hint="eastAsia" w:ascii="方正仿宋_GB2312" w:hAnsi="方正仿宋_GB2312" w:eastAsia="方正仿宋_GB2312" w:cs="方正仿宋_GB2312"/>
          <w:color w:val="auto"/>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20" w:lineRule="exact"/>
        <w:ind w:firstLine="643" w:firstLineChars="200"/>
        <w:jc w:val="both"/>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b/>
          <w:bCs/>
          <w:color w:val="auto"/>
          <w:sz w:val="32"/>
          <w:szCs w:val="32"/>
        </w:rPr>
        <w:t>人才培养特色优势不明显</w:t>
      </w:r>
      <w:r>
        <w:rPr>
          <w:rFonts w:hint="eastAsia" w:ascii="方正仿宋_GB2312" w:hAnsi="方正仿宋_GB2312" w:eastAsia="方正仿宋_GB2312" w:cs="方正仿宋_GB2312"/>
          <w:b/>
          <w:color w:val="auto"/>
          <w:sz w:val="32"/>
          <w:szCs w:val="32"/>
        </w:rPr>
        <w:t>。</w:t>
      </w:r>
      <w:r>
        <w:rPr>
          <w:rFonts w:hint="eastAsia" w:ascii="方正仿宋_GB2312" w:hAnsi="方正仿宋_GB2312" w:eastAsia="方正仿宋_GB2312" w:cs="方正仿宋_GB2312"/>
          <w:color w:val="auto"/>
          <w:sz w:val="32"/>
          <w:szCs w:val="32"/>
        </w:rPr>
        <w:t>学生高质量就业率、考编率、考研率、出国率</w:t>
      </w:r>
      <w:r>
        <w:rPr>
          <w:rFonts w:hint="eastAsia" w:ascii="方正仿宋_GB2312" w:hAnsi="方正仿宋_GB2312" w:eastAsia="方正仿宋_GB2312" w:cs="方正仿宋_GB2312"/>
          <w:color w:val="auto"/>
          <w:sz w:val="32"/>
          <w:szCs w:val="32"/>
          <w:lang w:eastAsia="zh-CN"/>
        </w:rPr>
        <w:t>仍</w:t>
      </w:r>
      <w:r>
        <w:rPr>
          <w:rFonts w:hint="eastAsia" w:ascii="方正仿宋_GB2312" w:hAnsi="方正仿宋_GB2312" w:eastAsia="方正仿宋_GB2312" w:cs="方正仿宋_GB2312"/>
          <w:color w:val="auto"/>
          <w:sz w:val="32"/>
          <w:szCs w:val="32"/>
        </w:rPr>
        <w:t>偏低。人才培养的中心地位需要进一步强化，教育教学改革有待深入推进</w:t>
      </w:r>
      <w:r>
        <w:rPr>
          <w:rFonts w:hint="eastAsia" w:ascii="方正仿宋_GB2312" w:hAnsi="方正仿宋_GB2312" w:eastAsia="方正仿宋_GB2312" w:cs="方正仿宋_GB2312"/>
          <w:color w:val="auto"/>
          <w:sz w:val="32"/>
          <w:szCs w:val="32"/>
          <w:lang w:eastAsia="zh-CN"/>
        </w:rPr>
        <w:t>。</w:t>
      </w:r>
      <w:r>
        <w:rPr>
          <w:rFonts w:hint="eastAsia" w:ascii="方正仿宋_GB2312" w:hAnsi="方正仿宋_GB2312" w:eastAsia="方正仿宋_GB2312" w:cs="方正仿宋_GB2312"/>
          <w:color w:val="auto"/>
          <w:sz w:val="32"/>
          <w:szCs w:val="32"/>
        </w:rPr>
        <w:t>人才培养质量还不适应社会对应用型人才的需求。</w:t>
      </w:r>
    </w:p>
    <w:p>
      <w:pPr>
        <w:keepNext w:val="0"/>
        <w:keepLines w:val="0"/>
        <w:pageBreakBefore w:val="0"/>
        <w:widowControl w:val="0"/>
        <w:kinsoku/>
        <w:wordWrap/>
        <w:overflowPunct/>
        <w:topLinePunct w:val="0"/>
        <w:autoSpaceDE/>
        <w:autoSpaceDN/>
        <w:bidi w:val="0"/>
        <w:adjustRightInd/>
        <w:snapToGrid/>
        <w:spacing w:line="520" w:lineRule="exact"/>
        <w:ind w:firstLine="643" w:firstLineChars="200"/>
        <w:jc w:val="both"/>
        <w:textAlignment w:val="auto"/>
        <w:rPr>
          <w:rFonts w:hint="eastAsia" w:ascii="方正仿宋_GB2312" w:hAnsi="方正仿宋_GB2312" w:eastAsia="方正仿宋_GB2312" w:cs="方正仿宋_GB2312"/>
          <w:bCs/>
          <w:color w:val="auto"/>
          <w:sz w:val="32"/>
          <w:szCs w:val="32"/>
        </w:rPr>
      </w:pPr>
      <w:r>
        <w:rPr>
          <w:rFonts w:hint="eastAsia" w:ascii="方正仿宋_GB2312" w:hAnsi="方正仿宋_GB2312" w:eastAsia="方正仿宋_GB2312" w:cs="方正仿宋_GB2312"/>
          <w:b/>
          <w:color w:val="auto"/>
          <w:sz w:val="32"/>
          <w:szCs w:val="32"/>
        </w:rPr>
        <w:t>高层次、高水平师资不足。</w:t>
      </w:r>
      <w:r>
        <w:rPr>
          <w:rFonts w:hint="eastAsia" w:ascii="方正仿宋_GB2312" w:hAnsi="方正仿宋_GB2312" w:eastAsia="方正仿宋_GB2312" w:cs="方正仿宋_GB2312"/>
          <w:color w:val="auto"/>
          <w:sz w:val="32"/>
          <w:szCs w:val="32"/>
        </w:rPr>
        <w:t>高端领军人才、优秀拔尖人才缺乏，师资规模和质量还不能满足外国语学院跨越发展的需要。</w:t>
      </w:r>
    </w:p>
    <w:p>
      <w:pPr>
        <w:keepNext w:val="0"/>
        <w:keepLines w:val="0"/>
        <w:pageBreakBefore w:val="0"/>
        <w:widowControl w:val="0"/>
        <w:kinsoku/>
        <w:wordWrap/>
        <w:overflowPunct/>
        <w:topLinePunct w:val="0"/>
        <w:autoSpaceDE/>
        <w:autoSpaceDN/>
        <w:bidi w:val="0"/>
        <w:adjustRightInd/>
        <w:snapToGrid/>
        <w:spacing w:line="520" w:lineRule="exact"/>
        <w:ind w:firstLine="643" w:firstLineChars="200"/>
        <w:jc w:val="both"/>
        <w:textAlignment w:val="auto"/>
        <w:rPr>
          <w:rFonts w:hint="eastAsia" w:ascii="方正仿宋_GB2312" w:hAnsi="方正仿宋_GB2312" w:eastAsia="方正仿宋_GB2312" w:cs="方正仿宋_GB2312"/>
          <w:bCs/>
          <w:color w:val="auto"/>
          <w:sz w:val="32"/>
          <w:szCs w:val="32"/>
        </w:rPr>
      </w:pPr>
      <w:r>
        <w:rPr>
          <w:rFonts w:hint="eastAsia" w:ascii="方正仿宋_GB2312" w:hAnsi="方正仿宋_GB2312" w:eastAsia="方正仿宋_GB2312" w:cs="方正仿宋_GB2312"/>
          <w:b/>
          <w:color w:val="auto"/>
          <w:sz w:val="32"/>
          <w:szCs w:val="32"/>
        </w:rPr>
        <w:t>科研、教研团队建设比较滞后。</w:t>
      </w:r>
      <w:r>
        <w:rPr>
          <w:rFonts w:hint="eastAsia" w:ascii="方正仿宋_GB2312" w:hAnsi="方正仿宋_GB2312" w:eastAsia="方正仿宋_GB2312" w:cs="方正仿宋_GB2312"/>
          <w:bCs/>
          <w:color w:val="auto"/>
          <w:sz w:val="32"/>
          <w:szCs w:val="32"/>
        </w:rPr>
        <w:t>总体科研、教研水平较低，缺乏高质量论文</w:t>
      </w:r>
      <w:r>
        <w:rPr>
          <w:rFonts w:hint="eastAsia" w:ascii="方正仿宋_GB2312" w:hAnsi="方正仿宋_GB2312" w:eastAsia="方正仿宋_GB2312" w:cs="方正仿宋_GB2312"/>
          <w:bCs/>
          <w:color w:val="auto"/>
          <w:sz w:val="32"/>
          <w:szCs w:val="32"/>
          <w:lang w:eastAsia="zh-CN"/>
        </w:rPr>
        <w:t>和</w:t>
      </w:r>
      <w:r>
        <w:rPr>
          <w:rFonts w:hint="eastAsia" w:ascii="方正仿宋_GB2312" w:hAnsi="方正仿宋_GB2312" w:eastAsia="方正仿宋_GB2312" w:cs="方正仿宋_GB2312"/>
          <w:bCs/>
          <w:color w:val="auto"/>
          <w:sz w:val="32"/>
          <w:szCs w:val="32"/>
        </w:rPr>
        <w:t>专著成果，</w:t>
      </w:r>
      <w:r>
        <w:rPr>
          <w:rFonts w:hint="eastAsia" w:ascii="方正仿宋_GB2312" w:hAnsi="方正仿宋_GB2312" w:eastAsia="方正仿宋_GB2312" w:cs="方正仿宋_GB2312"/>
          <w:bCs/>
          <w:color w:val="auto"/>
          <w:sz w:val="32"/>
          <w:szCs w:val="32"/>
          <w:lang w:eastAsia="zh-CN"/>
        </w:rPr>
        <w:t>高层次</w:t>
      </w:r>
      <w:r>
        <w:rPr>
          <w:rFonts w:hint="eastAsia" w:ascii="方正仿宋_GB2312" w:hAnsi="方正仿宋_GB2312" w:eastAsia="方正仿宋_GB2312" w:cs="方正仿宋_GB2312"/>
          <w:bCs/>
          <w:color w:val="auto"/>
          <w:sz w:val="32"/>
          <w:szCs w:val="32"/>
        </w:rPr>
        <w:t>获奖过少。</w:t>
      </w:r>
    </w:p>
    <w:p>
      <w:pPr>
        <w:keepNext w:val="0"/>
        <w:keepLines w:val="0"/>
        <w:pageBreakBefore w:val="0"/>
        <w:widowControl w:val="0"/>
        <w:kinsoku/>
        <w:wordWrap/>
        <w:overflowPunct/>
        <w:topLinePunct w:val="0"/>
        <w:autoSpaceDE/>
        <w:autoSpaceDN/>
        <w:bidi w:val="0"/>
        <w:adjustRightInd/>
        <w:snapToGrid/>
        <w:spacing w:line="520" w:lineRule="exact"/>
        <w:ind w:firstLine="643" w:firstLineChars="200"/>
        <w:jc w:val="both"/>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b/>
          <w:color w:val="auto"/>
          <w:sz w:val="32"/>
          <w:szCs w:val="32"/>
        </w:rPr>
        <w:t>学科建设系统性推进不够。</w:t>
      </w:r>
      <w:r>
        <w:rPr>
          <w:rFonts w:hint="eastAsia" w:ascii="方正仿宋_GB2312" w:hAnsi="方正仿宋_GB2312" w:eastAsia="方正仿宋_GB2312" w:cs="方正仿宋_GB2312"/>
          <w:color w:val="auto"/>
          <w:sz w:val="32"/>
          <w:szCs w:val="32"/>
        </w:rPr>
        <w:t>“十三五”期间由于人员配备不足、成果较少，学科发展处于基本建设阶段，缺乏系统性，</w:t>
      </w:r>
      <w:r>
        <w:rPr>
          <w:rFonts w:hint="eastAsia" w:ascii="方正仿宋_GB2312" w:hAnsi="方正仿宋_GB2312" w:eastAsia="方正仿宋_GB2312" w:cs="方正仿宋_GB2312"/>
          <w:color w:val="auto"/>
          <w:sz w:val="32"/>
          <w:szCs w:val="32"/>
          <w:lang w:eastAsia="zh-CN"/>
        </w:rPr>
        <w:t>尚未</w:t>
      </w:r>
      <w:r>
        <w:rPr>
          <w:rFonts w:hint="eastAsia" w:ascii="方正仿宋_GB2312" w:hAnsi="方正仿宋_GB2312" w:eastAsia="方正仿宋_GB2312" w:cs="方正仿宋_GB2312"/>
          <w:color w:val="auto"/>
          <w:sz w:val="32"/>
          <w:szCs w:val="32"/>
        </w:rPr>
        <w:t>形成</w:t>
      </w:r>
      <w:r>
        <w:rPr>
          <w:rFonts w:hint="eastAsia" w:ascii="方正仿宋_GB2312" w:hAnsi="方正仿宋_GB2312" w:eastAsia="方正仿宋_GB2312" w:cs="方正仿宋_GB2312"/>
          <w:color w:val="auto"/>
          <w:sz w:val="32"/>
          <w:szCs w:val="32"/>
          <w:lang w:eastAsia="zh-CN"/>
        </w:rPr>
        <w:t>明显</w:t>
      </w:r>
      <w:r>
        <w:rPr>
          <w:rFonts w:hint="eastAsia" w:ascii="方正仿宋_GB2312" w:hAnsi="方正仿宋_GB2312" w:eastAsia="方正仿宋_GB2312" w:cs="方正仿宋_GB2312"/>
          <w:color w:val="auto"/>
          <w:sz w:val="32"/>
          <w:szCs w:val="32"/>
        </w:rPr>
        <w:t>特色。</w:t>
      </w:r>
      <w:bookmarkStart w:id="8" w:name="_Toc453164564"/>
    </w:p>
    <w:p>
      <w:pPr>
        <w:keepNext w:val="0"/>
        <w:keepLines w:val="0"/>
        <w:pageBreakBefore w:val="0"/>
        <w:widowControl w:val="0"/>
        <w:numPr>
          <w:ilvl w:val="0"/>
          <w:numId w:val="1"/>
        </w:numPr>
        <w:tabs>
          <w:tab w:val="center" w:pos="4153"/>
          <w:tab w:val="right" w:pos="8306"/>
        </w:tabs>
        <w:kinsoku/>
        <w:wordWrap/>
        <w:overflowPunct/>
        <w:topLinePunct w:val="0"/>
        <w:autoSpaceDE/>
        <w:autoSpaceDN/>
        <w:bidi w:val="0"/>
        <w:adjustRightInd/>
        <w:snapToGrid/>
        <w:spacing w:line="520" w:lineRule="exact"/>
        <w:ind w:firstLine="480" w:firstLineChars="150"/>
        <w:jc w:val="both"/>
        <w:textAlignment w:val="auto"/>
        <w:rPr>
          <w:rFonts w:hint="eastAsia" w:ascii="黑体" w:hAnsi="黑体" w:eastAsia="黑体" w:cs="黑体"/>
          <w:b w:val="0"/>
          <w:color w:val="auto"/>
          <w:sz w:val="32"/>
          <w:szCs w:val="32"/>
        </w:rPr>
      </w:pPr>
      <w:r>
        <w:rPr>
          <w:rFonts w:hint="eastAsia" w:ascii="黑体" w:hAnsi="黑体" w:eastAsia="黑体" w:cs="黑体"/>
          <w:b w:val="0"/>
          <w:color w:val="auto"/>
          <w:sz w:val="32"/>
          <w:szCs w:val="32"/>
        </w:rPr>
        <w:t>“十四五”期间学院发展指导思想、发展思路和总体目</w:t>
      </w:r>
      <w:r>
        <w:rPr>
          <w:rFonts w:hint="eastAsia" w:ascii="黑体" w:hAnsi="黑体" w:eastAsia="黑体" w:cs="黑体"/>
          <w:b w:val="0"/>
          <w:color w:val="auto"/>
          <w:sz w:val="32"/>
          <w:szCs w:val="32"/>
          <w:lang w:val="en-US" w:eastAsia="zh-CN"/>
        </w:rPr>
        <w:t>标</w:t>
      </w:r>
    </w:p>
    <w:p>
      <w:pPr>
        <w:keepNext w:val="0"/>
        <w:keepLines w:val="0"/>
        <w:pageBreakBefore w:val="0"/>
        <w:widowControl w:val="0"/>
        <w:numPr>
          <w:ilvl w:val="0"/>
          <w:numId w:val="0"/>
        </w:numPr>
        <w:tabs>
          <w:tab w:val="center" w:pos="4153"/>
          <w:tab w:val="right" w:pos="8306"/>
        </w:tabs>
        <w:kinsoku/>
        <w:wordWrap/>
        <w:overflowPunct/>
        <w:topLinePunct w:val="0"/>
        <w:autoSpaceDE/>
        <w:autoSpaceDN/>
        <w:bidi w:val="0"/>
        <w:adjustRightInd/>
        <w:snapToGrid/>
        <w:spacing w:line="520" w:lineRule="exact"/>
        <w:ind w:firstLine="643" w:firstLineChars="200"/>
        <w:jc w:val="both"/>
        <w:textAlignment w:val="auto"/>
        <w:rPr>
          <w:rFonts w:hint="eastAsia" w:ascii="楷体" w:hAnsi="楷体" w:eastAsia="楷体" w:cs="楷体"/>
          <w:b/>
          <w:color w:val="auto"/>
          <w:sz w:val="32"/>
          <w:szCs w:val="32"/>
        </w:rPr>
      </w:pPr>
      <w:r>
        <w:rPr>
          <w:rFonts w:hint="eastAsia" w:ascii="楷体" w:hAnsi="楷体" w:eastAsia="楷体" w:cs="楷体"/>
          <w:b/>
          <w:color w:val="auto"/>
          <w:sz w:val="32"/>
          <w:szCs w:val="32"/>
        </w:rPr>
        <w:t>（一）指导思想</w:t>
      </w:r>
    </w:p>
    <w:p>
      <w:pPr>
        <w:pageBreakBefore w:val="0"/>
        <w:widowControl w:val="0"/>
        <w:kinsoku/>
        <w:wordWrap/>
        <w:overflowPunct/>
        <w:topLinePunct w:val="0"/>
        <w:autoSpaceDE/>
        <w:autoSpaceDN/>
        <w:bidi w:val="0"/>
        <w:spacing w:line="520" w:lineRule="exact"/>
        <w:ind w:firstLine="640" w:firstLineChars="200"/>
        <w:jc w:val="both"/>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2020年以来，受全球新冠疫情影响，面对经济发展、社会需求和高等教育发展新形势，学院将以习近平新时代中国特色社会主义思想为指导，根据国家和浙江省教育改革和发展规划纲要等战略部署和2035年远景目标，深入贯彻学校第四次党代会精神，落实“3918”战略体系，在</w:t>
      </w:r>
      <w:r>
        <w:rPr>
          <w:rFonts w:hint="eastAsia" w:ascii="方正仿宋_GB2312" w:hAnsi="方正仿宋_GB2312" w:eastAsia="方正仿宋_GB2312" w:cs="方正仿宋_GB2312"/>
          <w:color w:val="auto"/>
          <w:kern w:val="0"/>
          <w:sz w:val="32"/>
          <w:szCs w:val="32"/>
        </w:rPr>
        <w:t>学校“十四五”发展规划指导下，结合当今社会经济发展新常态以及外语学科发展现状及未来发展趋势，</w:t>
      </w:r>
      <w:r>
        <w:rPr>
          <w:rFonts w:hint="eastAsia" w:ascii="方正仿宋_GB2312" w:hAnsi="方正仿宋_GB2312" w:eastAsia="方正仿宋_GB2312" w:cs="方正仿宋_GB2312"/>
          <w:color w:val="auto"/>
          <w:sz w:val="32"/>
          <w:szCs w:val="32"/>
        </w:rPr>
        <w:t>始终以培养高素质应用型外语人才为核心，</w:t>
      </w:r>
      <w:bookmarkStart w:id="9" w:name="_Toc453164567"/>
      <w:bookmarkStart w:id="10" w:name="_Toc22242"/>
      <w:r>
        <w:rPr>
          <w:rFonts w:hint="eastAsia" w:ascii="方正仿宋_GB2312" w:hAnsi="方正仿宋_GB2312" w:eastAsia="方正仿宋_GB2312" w:cs="方正仿宋_GB2312"/>
          <w:color w:val="auto"/>
          <w:sz w:val="32"/>
          <w:szCs w:val="32"/>
        </w:rPr>
        <w:t>以学科建设为龙头，以师资队伍建设为基础，以教学工作为先导，以科学研究为突破口，以党建、政治思想工作为保</w:t>
      </w:r>
      <w:r>
        <w:rPr>
          <w:rFonts w:hint="eastAsia" w:ascii="方正仿宋_GB2312" w:hAnsi="方正仿宋_GB2312" w:eastAsia="方正仿宋_GB2312" w:cs="方正仿宋_GB2312"/>
          <w:color w:val="auto"/>
          <w:sz w:val="32"/>
          <w:szCs w:val="32"/>
          <w:lang w:eastAsia="zh-CN"/>
        </w:rPr>
        <w:t>障</w:t>
      </w:r>
      <w:r>
        <w:rPr>
          <w:rFonts w:hint="eastAsia" w:ascii="方正仿宋_GB2312" w:hAnsi="方正仿宋_GB2312" w:eastAsia="方正仿宋_GB2312" w:cs="方正仿宋_GB2312"/>
          <w:color w:val="auto"/>
          <w:sz w:val="32"/>
          <w:szCs w:val="32"/>
        </w:rPr>
        <w:t>，不断改革创新，培育特色亮点，为建设高水平“湖州师范大学”和推进学院快速发展积极作为。</w:t>
      </w:r>
      <w:bookmarkEnd w:id="7"/>
      <w:bookmarkEnd w:id="8"/>
      <w:bookmarkEnd w:id="9"/>
      <w:bookmarkEnd w:id="10"/>
      <w:bookmarkStart w:id="11" w:name="_Toc22911"/>
    </w:p>
    <w:p>
      <w:pPr>
        <w:keepNext w:val="0"/>
        <w:keepLines w:val="0"/>
        <w:pageBreakBefore w:val="0"/>
        <w:widowControl w:val="0"/>
        <w:numPr>
          <w:ilvl w:val="0"/>
          <w:numId w:val="0"/>
        </w:numPr>
        <w:tabs>
          <w:tab w:val="center" w:pos="4153"/>
          <w:tab w:val="right" w:pos="8306"/>
        </w:tabs>
        <w:kinsoku/>
        <w:wordWrap/>
        <w:overflowPunct/>
        <w:topLinePunct w:val="0"/>
        <w:autoSpaceDE/>
        <w:autoSpaceDN/>
        <w:bidi w:val="0"/>
        <w:adjustRightInd/>
        <w:snapToGrid/>
        <w:spacing w:line="520" w:lineRule="exact"/>
        <w:ind w:firstLine="643" w:firstLineChars="200"/>
        <w:jc w:val="both"/>
        <w:textAlignment w:val="auto"/>
        <w:rPr>
          <w:rFonts w:hint="eastAsia" w:ascii="楷体" w:hAnsi="楷体" w:eastAsia="楷体" w:cs="楷体"/>
          <w:b/>
          <w:color w:val="auto"/>
          <w:sz w:val="32"/>
          <w:szCs w:val="32"/>
        </w:rPr>
      </w:pPr>
      <w:r>
        <w:rPr>
          <w:rFonts w:hint="eastAsia" w:ascii="楷体" w:hAnsi="楷体" w:eastAsia="楷体" w:cs="楷体"/>
          <w:b/>
          <w:color w:val="auto"/>
          <w:sz w:val="32"/>
          <w:szCs w:val="32"/>
        </w:rPr>
        <w:t>（二）发展思路</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以</w:t>
      </w:r>
      <w:r>
        <w:rPr>
          <w:rFonts w:hint="eastAsia" w:ascii="方正仿宋_GB2312" w:hAnsi="方正仿宋_GB2312" w:eastAsia="方正仿宋_GB2312" w:cs="方正仿宋_GB2312"/>
          <w:color w:val="auto"/>
          <w:sz w:val="32"/>
          <w:szCs w:val="32"/>
          <w:lang w:eastAsia="zh-CN"/>
        </w:rPr>
        <w:t>学科建设为龙头，以</w:t>
      </w:r>
      <w:r>
        <w:rPr>
          <w:rFonts w:hint="eastAsia" w:ascii="方正仿宋_GB2312" w:hAnsi="方正仿宋_GB2312" w:eastAsia="方正仿宋_GB2312" w:cs="方正仿宋_GB2312"/>
          <w:color w:val="auto"/>
          <w:sz w:val="32"/>
          <w:szCs w:val="32"/>
        </w:rPr>
        <w:t>人才培养</w:t>
      </w:r>
      <w:r>
        <w:rPr>
          <w:rFonts w:hint="eastAsia" w:ascii="方正仿宋_GB2312" w:hAnsi="方正仿宋_GB2312" w:eastAsia="方正仿宋_GB2312" w:cs="方正仿宋_GB2312"/>
          <w:color w:val="auto"/>
          <w:sz w:val="32"/>
          <w:szCs w:val="32"/>
          <w:lang w:eastAsia="zh-CN"/>
        </w:rPr>
        <w:t>质量</w:t>
      </w:r>
      <w:r>
        <w:rPr>
          <w:rFonts w:hint="eastAsia" w:ascii="方正仿宋_GB2312" w:hAnsi="方正仿宋_GB2312" w:eastAsia="方正仿宋_GB2312" w:cs="方正仿宋_GB2312"/>
          <w:color w:val="auto"/>
          <w:sz w:val="32"/>
          <w:szCs w:val="32"/>
        </w:rPr>
        <w:t>为</w:t>
      </w:r>
      <w:r>
        <w:rPr>
          <w:rFonts w:hint="eastAsia" w:ascii="方正仿宋_GB2312" w:hAnsi="方正仿宋_GB2312" w:eastAsia="方正仿宋_GB2312" w:cs="方正仿宋_GB2312"/>
          <w:color w:val="auto"/>
          <w:sz w:val="32"/>
          <w:szCs w:val="32"/>
          <w:lang w:eastAsia="zh-CN"/>
        </w:rPr>
        <w:t>中</w:t>
      </w:r>
      <w:r>
        <w:rPr>
          <w:rFonts w:hint="eastAsia" w:ascii="方正仿宋_GB2312" w:hAnsi="方正仿宋_GB2312" w:eastAsia="方正仿宋_GB2312" w:cs="方正仿宋_GB2312"/>
          <w:color w:val="auto"/>
          <w:sz w:val="32"/>
          <w:szCs w:val="32"/>
        </w:rPr>
        <w:t>心，积极探索国内外、跨校际、校企合作人才培养新模式，注重学生通识教育、专业知识和师范技能、交叉学科知识和实践能力的培养</w:t>
      </w:r>
      <w:r>
        <w:rPr>
          <w:rFonts w:hint="eastAsia" w:ascii="方正仿宋_GB2312" w:hAnsi="方正仿宋_GB2312" w:eastAsia="方正仿宋_GB2312" w:cs="方正仿宋_GB2312"/>
          <w:color w:val="auto"/>
          <w:sz w:val="32"/>
          <w:szCs w:val="32"/>
          <w:lang w:eastAsia="zh-CN"/>
        </w:rPr>
        <w:t>。</w:t>
      </w:r>
      <w:r>
        <w:rPr>
          <w:rFonts w:hint="eastAsia" w:ascii="方正仿宋_GB2312" w:hAnsi="方正仿宋_GB2312" w:eastAsia="方正仿宋_GB2312" w:cs="方正仿宋_GB2312"/>
          <w:color w:val="auto"/>
          <w:sz w:val="32"/>
          <w:szCs w:val="32"/>
        </w:rPr>
        <w:t>在大学外语人才培养方面，注重学生外语基础知识、应用能力的培养。</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以专业教学为</w:t>
      </w:r>
      <w:r>
        <w:rPr>
          <w:rFonts w:hint="eastAsia" w:ascii="方正仿宋_GB2312" w:hAnsi="方正仿宋_GB2312" w:eastAsia="方正仿宋_GB2312" w:cs="方正仿宋_GB2312"/>
          <w:color w:val="auto"/>
          <w:sz w:val="32"/>
          <w:szCs w:val="32"/>
          <w:lang w:eastAsia="zh-CN"/>
        </w:rPr>
        <w:t>载体</w:t>
      </w:r>
      <w:r>
        <w:rPr>
          <w:rFonts w:hint="eastAsia" w:ascii="方正仿宋_GB2312" w:hAnsi="方正仿宋_GB2312" w:eastAsia="方正仿宋_GB2312" w:cs="方正仿宋_GB2312"/>
          <w:color w:val="auto"/>
          <w:sz w:val="32"/>
          <w:szCs w:val="32"/>
        </w:rPr>
        <w:t>，积极探索教学新模式，大力推进交叉、合作、实践、线上线下结合课程建设，努力加强</w:t>
      </w:r>
      <w:r>
        <w:rPr>
          <w:rFonts w:hint="eastAsia" w:ascii="方正仿宋_GB2312" w:hAnsi="方正仿宋_GB2312" w:eastAsia="方正仿宋_GB2312" w:cs="方正仿宋_GB2312"/>
          <w:color w:val="auto"/>
          <w:sz w:val="32"/>
          <w:szCs w:val="32"/>
          <w:lang w:eastAsia="zh-CN"/>
        </w:rPr>
        <w:t>大学英语和专业外语考级</w:t>
      </w:r>
      <w:r>
        <w:rPr>
          <w:rFonts w:hint="eastAsia" w:ascii="方正仿宋_GB2312" w:hAnsi="方正仿宋_GB2312" w:eastAsia="方正仿宋_GB2312" w:cs="方正仿宋_GB2312"/>
          <w:color w:val="auto"/>
          <w:sz w:val="32"/>
          <w:szCs w:val="32"/>
        </w:rPr>
        <w:t>后外语教学，针对学生就业、考研、出国</w:t>
      </w:r>
      <w:r>
        <w:rPr>
          <w:rFonts w:hint="eastAsia" w:ascii="方正仿宋_GB2312" w:hAnsi="方正仿宋_GB2312" w:eastAsia="方正仿宋_GB2312" w:cs="方正仿宋_GB2312"/>
          <w:color w:val="auto"/>
          <w:sz w:val="32"/>
          <w:szCs w:val="32"/>
          <w:lang w:eastAsia="zh-CN"/>
        </w:rPr>
        <w:t>的需求</w:t>
      </w:r>
      <w:r>
        <w:rPr>
          <w:rFonts w:hint="eastAsia" w:ascii="方正仿宋_GB2312" w:hAnsi="方正仿宋_GB2312" w:eastAsia="方正仿宋_GB2312" w:cs="方正仿宋_GB2312"/>
          <w:color w:val="auto"/>
          <w:sz w:val="32"/>
          <w:szCs w:val="32"/>
        </w:rPr>
        <w:t>，加强专业外语（与我校特色优势学科进行课程合作）、考研外语、出国外语教学</w:t>
      </w:r>
      <w:r>
        <w:rPr>
          <w:rFonts w:hint="eastAsia" w:ascii="方正仿宋_GB2312" w:hAnsi="方正仿宋_GB2312" w:eastAsia="方正仿宋_GB2312" w:cs="方正仿宋_GB2312"/>
          <w:color w:val="auto"/>
          <w:sz w:val="32"/>
          <w:szCs w:val="32"/>
          <w:lang w:eastAsia="zh-CN"/>
        </w:rPr>
        <w:t>。</w:t>
      </w:r>
      <w:r>
        <w:rPr>
          <w:rFonts w:hint="eastAsia" w:ascii="方正仿宋_GB2312" w:hAnsi="方正仿宋_GB2312" w:eastAsia="方正仿宋_GB2312" w:cs="方正仿宋_GB2312"/>
          <w:color w:val="auto"/>
          <w:sz w:val="32"/>
          <w:szCs w:val="32"/>
        </w:rPr>
        <w:t>争</w:t>
      </w:r>
      <w:r>
        <w:rPr>
          <w:rFonts w:hint="eastAsia" w:ascii="方正仿宋_GB2312" w:hAnsi="方正仿宋_GB2312" w:eastAsia="方正仿宋_GB2312" w:cs="方正仿宋_GB2312"/>
          <w:color w:val="auto"/>
          <w:sz w:val="32"/>
          <w:szCs w:val="32"/>
          <w:lang w:eastAsia="zh-CN"/>
        </w:rPr>
        <w:t>创</w:t>
      </w:r>
      <w:r>
        <w:rPr>
          <w:rFonts w:hint="eastAsia" w:ascii="方正仿宋_GB2312" w:hAnsi="方正仿宋_GB2312" w:eastAsia="方正仿宋_GB2312" w:cs="方正仿宋_GB2312"/>
          <w:color w:val="auto"/>
          <w:sz w:val="32"/>
          <w:szCs w:val="32"/>
        </w:rPr>
        <w:t>国家级一流课程，全面提升专业教学和大学外语教学水平。</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以英语语言文学学科为</w:t>
      </w:r>
      <w:r>
        <w:rPr>
          <w:rFonts w:hint="eastAsia" w:ascii="方正仿宋_GB2312" w:hAnsi="方正仿宋_GB2312" w:eastAsia="方正仿宋_GB2312" w:cs="方正仿宋_GB2312"/>
          <w:color w:val="auto"/>
          <w:sz w:val="32"/>
          <w:szCs w:val="32"/>
          <w:lang w:eastAsia="zh-CN"/>
        </w:rPr>
        <w:t>核</w:t>
      </w:r>
      <w:r>
        <w:rPr>
          <w:rFonts w:hint="eastAsia" w:ascii="方正仿宋_GB2312" w:hAnsi="方正仿宋_GB2312" w:eastAsia="方正仿宋_GB2312" w:cs="方正仿宋_GB2312"/>
          <w:color w:val="auto"/>
          <w:sz w:val="32"/>
          <w:szCs w:val="32"/>
        </w:rPr>
        <w:t>头，围绕应用语言学、翻译学学科，加强学科体系建设；加强外语学科与学校特色优势学科的交叉研究，培养学科特色与优势。</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以科研课题申报为抓手，加强科研团队建设，争取在科研项目、科研成果和获奖层次与数量上有较大提高，继续做好硕士点建设工作。</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rPr>
          <w:rFonts w:hint="eastAsia" w:ascii="方正仿宋_GB2312" w:hAnsi="方正仿宋_GB2312" w:eastAsia="方正仿宋_GB2312" w:cs="方正仿宋_GB2312"/>
          <w:color w:val="auto"/>
          <w:sz w:val="32"/>
          <w:szCs w:val="32"/>
          <w:lang w:eastAsia="zh-CN"/>
        </w:rPr>
      </w:pPr>
      <w:r>
        <w:rPr>
          <w:rFonts w:hint="eastAsia" w:ascii="方正仿宋_GB2312" w:hAnsi="方正仿宋_GB2312" w:eastAsia="方正仿宋_GB2312" w:cs="方正仿宋_GB2312"/>
          <w:color w:val="auto"/>
          <w:sz w:val="32"/>
          <w:szCs w:val="32"/>
        </w:rPr>
        <w:t>以师资队伍建设为基础，坚持走内部培养和外部引进相结合的师资队伍建设之路，不断扩大国内和国际学术交流与合作，努力打造一支高学历、高职称、高水平和高素质的教学、科研队伍</w:t>
      </w:r>
      <w:r>
        <w:rPr>
          <w:rFonts w:hint="eastAsia" w:ascii="方正仿宋_GB2312" w:hAnsi="方正仿宋_GB2312" w:eastAsia="方正仿宋_GB2312" w:cs="方正仿宋_GB2312"/>
          <w:color w:val="auto"/>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20" w:lineRule="exact"/>
        <w:ind w:firstLine="643" w:firstLineChars="200"/>
        <w:jc w:val="both"/>
        <w:textAlignment w:val="auto"/>
        <w:rPr>
          <w:rFonts w:hint="eastAsia" w:ascii="楷体" w:hAnsi="楷体" w:eastAsia="楷体" w:cs="楷体"/>
          <w:b/>
          <w:color w:val="auto"/>
          <w:sz w:val="32"/>
          <w:szCs w:val="32"/>
        </w:rPr>
      </w:pPr>
      <w:r>
        <w:rPr>
          <w:rFonts w:hint="eastAsia" w:ascii="楷体" w:hAnsi="楷体" w:eastAsia="楷体" w:cs="楷体"/>
          <w:b/>
          <w:color w:val="auto"/>
          <w:sz w:val="32"/>
          <w:szCs w:val="32"/>
        </w:rPr>
        <w:t>（三）总体目标</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rPr>
          <w:rFonts w:hint="eastAsia" w:ascii="方正仿宋_GB2312" w:hAnsi="方正仿宋_GB2312" w:eastAsia="方正仿宋_GB2312" w:cs="方正仿宋_GB2312"/>
          <w:bCs/>
          <w:color w:val="auto"/>
          <w:kern w:val="0"/>
          <w:sz w:val="32"/>
          <w:szCs w:val="32"/>
        </w:rPr>
      </w:pPr>
      <w:r>
        <w:rPr>
          <w:rFonts w:hint="eastAsia" w:ascii="方正仿宋_GB2312" w:hAnsi="方正仿宋_GB2312" w:eastAsia="方正仿宋_GB2312" w:cs="方正仿宋_GB2312"/>
          <w:color w:val="auto"/>
          <w:sz w:val="32"/>
          <w:szCs w:val="32"/>
        </w:rPr>
        <w:t>按照“3918”战略体系部署，至“十四五”末，把外国语学院建设成为“以英语语言文学为龙头，以应用语言学、翻译学为两翼，以英语师范教育为特色</w:t>
      </w:r>
      <w:r>
        <w:rPr>
          <w:rFonts w:hint="eastAsia" w:ascii="方正仿宋_GB2312" w:hAnsi="方正仿宋_GB2312" w:eastAsia="方正仿宋_GB2312" w:cs="方正仿宋_GB2312"/>
          <w:color w:val="auto"/>
          <w:sz w:val="32"/>
          <w:szCs w:val="32"/>
          <w:lang w:eastAsia="zh-CN"/>
        </w:rPr>
        <w:t>，</w:t>
      </w:r>
      <w:r>
        <w:rPr>
          <w:rFonts w:hint="eastAsia" w:ascii="方正仿宋_GB2312" w:hAnsi="方正仿宋_GB2312" w:eastAsia="方正仿宋_GB2312" w:cs="方正仿宋_GB2312"/>
          <w:color w:val="auto"/>
          <w:sz w:val="32"/>
          <w:szCs w:val="32"/>
        </w:rPr>
        <w:t>以教学为主</w:t>
      </w:r>
      <w:r>
        <w:rPr>
          <w:rFonts w:hint="eastAsia" w:ascii="方正仿宋_GB2312" w:hAnsi="方正仿宋_GB2312" w:eastAsia="方正仿宋_GB2312" w:cs="方正仿宋_GB2312"/>
          <w:color w:val="auto"/>
          <w:sz w:val="32"/>
          <w:szCs w:val="32"/>
          <w:lang w:eastAsia="zh-CN"/>
        </w:rPr>
        <w:t>、教学</w:t>
      </w:r>
      <w:r>
        <w:rPr>
          <w:rFonts w:hint="eastAsia" w:ascii="方正仿宋_GB2312" w:hAnsi="方正仿宋_GB2312" w:eastAsia="方正仿宋_GB2312" w:cs="方正仿宋_GB2312"/>
          <w:color w:val="auto"/>
          <w:sz w:val="32"/>
          <w:szCs w:val="32"/>
        </w:rPr>
        <w:t>科研并重的省内高校一流外国语学院”。具体来说，围绕学科教学（英语）和翻译专业硕士学位点，形成学科专业的体系化发展，依托学校优势专业，积极培养外语学科的特色与优势；围绕教学型学院定位，把教学工作</w:t>
      </w:r>
      <w:r>
        <w:rPr>
          <w:rFonts w:hint="eastAsia" w:ascii="方正仿宋_GB2312" w:hAnsi="方正仿宋_GB2312" w:eastAsia="方正仿宋_GB2312" w:cs="方正仿宋_GB2312"/>
          <w:color w:val="auto"/>
          <w:sz w:val="32"/>
          <w:szCs w:val="32"/>
          <w:lang w:eastAsia="zh-CN"/>
        </w:rPr>
        <w:t>作</w:t>
      </w:r>
      <w:r>
        <w:rPr>
          <w:rFonts w:hint="eastAsia" w:ascii="方正仿宋_GB2312" w:hAnsi="方正仿宋_GB2312" w:eastAsia="方正仿宋_GB2312" w:cs="方正仿宋_GB2312"/>
          <w:color w:val="auto"/>
          <w:sz w:val="32"/>
          <w:szCs w:val="32"/>
        </w:rPr>
        <w:t>为第一要务，同时努力开拓科研工作；在重点保证英语本科专业发展的同时，大力发展日语本科专业和俄语本科专业。力争“十四五”末在专业建设、科研成果的数量和质量、教学效果、人才培养等方面位于省内高校外语学院前茅，在全省所有高校外语学院排位中居于15名左右</w:t>
      </w:r>
      <w:r>
        <w:rPr>
          <w:rFonts w:hint="eastAsia" w:ascii="方正仿宋_GB2312" w:hAnsi="方正仿宋_GB2312" w:eastAsia="方正仿宋_GB2312" w:cs="方正仿宋_GB2312"/>
          <w:bCs/>
          <w:color w:val="auto"/>
          <w:kern w:val="0"/>
          <w:sz w:val="32"/>
          <w:szCs w:val="32"/>
        </w:rPr>
        <w:t>。</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rPr>
          <w:rFonts w:hint="eastAsia" w:ascii="方正仿宋_GB2312" w:hAnsi="方正仿宋_GB2312" w:eastAsia="方正仿宋_GB2312" w:cs="方正仿宋_GB2312"/>
          <w:bCs/>
          <w:color w:val="auto"/>
          <w:kern w:val="0"/>
          <w:sz w:val="32"/>
          <w:szCs w:val="32"/>
        </w:rPr>
      </w:pPr>
    </w:p>
    <w:p>
      <w:pPr>
        <w:keepNext w:val="0"/>
        <w:keepLines w:val="0"/>
        <w:pageBreakBefore w:val="0"/>
        <w:widowControl w:val="0"/>
        <w:numPr>
          <w:ilvl w:val="0"/>
          <w:numId w:val="1"/>
        </w:numPr>
        <w:tabs>
          <w:tab w:val="center" w:pos="4153"/>
          <w:tab w:val="right" w:pos="8306"/>
        </w:tabs>
        <w:kinsoku/>
        <w:wordWrap/>
        <w:overflowPunct/>
        <w:topLinePunct w:val="0"/>
        <w:autoSpaceDE/>
        <w:autoSpaceDN/>
        <w:bidi w:val="0"/>
        <w:adjustRightInd/>
        <w:snapToGrid/>
        <w:spacing w:line="520" w:lineRule="exact"/>
        <w:ind w:firstLine="480" w:firstLineChars="150"/>
        <w:jc w:val="both"/>
        <w:textAlignment w:val="auto"/>
        <w:rPr>
          <w:rFonts w:hint="eastAsia" w:ascii="黑体" w:hAnsi="黑体" w:eastAsia="黑体" w:cs="黑体"/>
          <w:b w:val="0"/>
          <w:color w:val="auto"/>
          <w:sz w:val="32"/>
          <w:szCs w:val="32"/>
        </w:rPr>
      </w:pPr>
      <w:r>
        <w:rPr>
          <w:rFonts w:hint="eastAsia" w:ascii="黑体" w:hAnsi="黑体" w:eastAsia="黑体" w:cs="黑体"/>
          <w:b w:val="0"/>
          <w:color w:val="auto"/>
          <w:sz w:val="32"/>
          <w:szCs w:val="32"/>
        </w:rPr>
        <w:t>具体目标</w:t>
      </w:r>
    </w:p>
    <w:p>
      <w:pPr>
        <w:keepNext w:val="0"/>
        <w:keepLines w:val="0"/>
        <w:pageBreakBefore w:val="0"/>
        <w:widowControl w:val="0"/>
        <w:numPr>
          <w:ilvl w:val="0"/>
          <w:numId w:val="0"/>
        </w:numPr>
        <w:tabs>
          <w:tab w:val="center" w:pos="4153"/>
          <w:tab w:val="right" w:pos="8306"/>
        </w:tabs>
        <w:kinsoku/>
        <w:wordWrap/>
        <w:overflowPunct/>
        <w:topLinePunct w:val="0"/>
        <w:autoSpaceDE/>
        <w:autoSpaceDN/>
        <w:bidi w:val="0"/>
        <w:adjustRightInd/>
        <w:snapToGrid/>
        <w:spacing w:line="520" w:lineRule="exact"/>
        <w:ind w:firstLine="643" w:firstLineChars="200"/>
        <w:jc w:val="both"/>
        <w:textAlignment w:val="auto"/>
        <w:rPr>
          <w:rFonts w:hint="eastAsia" w:ascii="方正仿宋_GB2312" w:hAnsi="方正仿宋_GB2312" w:eastAsia="方正仿宋_GB2312" w:cs="方正仿宋_GB2312"/>
          <w:b/>
          <w:bCs/>
          <w:color w:val="auto"/>
          <w:sz w:val="32"/>
          <w:szCs w:val="32"/>
        </w:rPr>
      </w:pPr>
      <w:r>
        <w:rPr>
          <w:rFonts w:hint="eastAsia" w:ascii="方正仿宋_GB2312" w:hAnsi="方正仿宋_GB2312" w:eastAsia="方正仿宋_GB2312" w:cs="方正仿宋_GB2312"/>
          <w:b/>
          <w:color w:val="auto"/>
          <w:sz w:val="32"/>
          <w:szCs w:val="32"/>
        </w:rPr>
        <w:t>——发展规模。</w:t>
      </w:r>
      <w:r>
        <w:rPr>
          <w:rFonts w:hint="eastAsia" w:ascii="方正仿宋_GB2312" w:hAnsi="方正仿宋_GB2312" w:eastAsia="方正仿宋_GB2312" w:cs="方正仿宋_GB2312"/>
          <w:color w:val="auto"/>
          <w:sz w:val="32"/>
          <w:szCs w:val="32"/>
        </w:rPr>
        <w:t>“十四五”末，全日制本科生达到800人。推进学科教学（英语）领域方向硕士研究生培养工作，积极准备外国语言文学相关硕士点申报</w:t>
      </w:r>
      <w:r>
        <w:rPr>
          <w:rFonts w:hint="eastAsia" w:ascii="方正仿宋_GB2312" w:hAnsi="方正仿宋_GB2312" w:eastAsia="方正仿宋_GB2312" w:cs="方正仿宋_GB2312"/>
          <w:color w:val="auto"/>
          <w:sz w:val="32"/>
          <w:szCs w:val="32"/>
          <w:lang w:eastAsia="zh-CN"/>
        </w:rPr>
        <w:t>，硕士研究生在读人数达</w:t>
      </w:r>
      <w:r>
        <w:rPr>
          <w:rFonts w:hint="eastAsia" w:ascii="方正仿宋_GB2312" w:hAnsi="方正仿宋_GB2312" w:eastAsia="方正仿宋_GB2312" w:cs="方正仿宋_GB2312"/>
          <w:color w:val="auto"/>
          <w:sz w:val="32"/>
          <w:szCs w:val="32"/>
          <w:lang w:val="en-US" w:eastAsia="zh-CN"/>
        </w:rPr>
        <w:t>30</w:t>
      </w:r>
      <w:r>
        <w:rPr>
          <w:rFonts w:hint="eastAsia" w:ascii="方正仿宋_GB2312" w:hAnsi="方正仿宋_GB2312" w:eastAsia="方正仿宋_GB2312" w:cs="方正仿宋_GB2312"/>
          <w:color w:val="auto"/>
          <w:sz w:val="32"/>
          <w:szCs w:val="32"/>
          <w:lang w:eastAsia="zh-CN"/>
        </w:rPr>
        <w:t>人</w:t>
      </w:r>
      <w:r>
        <w:rPr>
          <w:rFonts w:hint="eastAsia" w:ascii="方正仿宋_GB2312" w:hAnsi="方正仿宋_GB2312" w:eastAsia="方正仿宋_GB2312" w:cs="方正仿宋_GB2312"/>
          <w:color w:val="auto"/>
          <w:sz w:val="32"/>
          <w:szCs w:val="32"/>
        </w:rPr>
        <w:t>。</w:t>
      </w:r>
    </w:p>
    <w:p>
      <w:pPr>
        <w:keepNext w:val="0"/>
        <w:keepLines w:val="0"/>
        <w:pageBreakBefore w:val="0"/>
        <w:widowControl w:val="0"/>
        <w:tabs>
          <w:tab w:val="left" w:pos="6150"/>
        </w:tabs>
        <w:kinsoku/>
        <w:wordWrap/>
        <w:overflowPunct/>
        <w:topLinePunct w:val="0"/>
        <w:autoSpaceDE/>
        <w:autoSpaceDN/>
        <w:bidi w:val="0"/>
        <w:adjustRightInd w:val="0"/>
        <w:snapToGrid w:val="0"/>
        <w:spacing w:line="520" w:lineRule="exact"/>
        <w:ind w:firstLine="643" w:firstLineChars="200"/>
        <w:jc w:val="both"/>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b/>
          <w:color w:val="auto"/>
          <w:sz w:val="32"/>
          <w:szCs w:val="32"/>
        </w:rPr>
        <w:t>——学科建设。</w:t>
      </w:r>
      <w:r>
        <w:rPr>
          <w:rFonts w:hint="eastAsia" w:ascii="方正仿宋_GB2312" w:hAnsi="方正仿宋_GB2312" w:eastAsia="方正仿宋_GB2312" w:cs="方正仿宋_GB2312"/>
          <w:color w:val="auto"/>
          <w:sz w:val="32"/>
          <w:szCs w:val="32"/>
        </w:rPr>
        <w:t>英语语言文学建成省级重点学科；日语语言文学、外国语言学及应用语言学学科稳步发展；完善俄语语言文学学科建设。</w:t>
      </w:r>
    </w:p>
    <w:p>
      <w:pPr>
        <w:keepNext w:val="0"/>
        <w:keepLines w:val="0"/>
        <w:pageBreakBefore w:val="0"/>
        <w:widowControl w:val="0"/>
        <w:tabs>
          <w:tab w:val="left" w:pos="6150"/>
        </w:tabs>
        <w:kinsoku/>
        <w:wordWrap/>
        <w:overflowPunct/>
        <w:topLinePunct w:val="0"/>
        <w:autoSpaceDE/>
        <w:autoSpaceDN/>
        <w:bidi w:val="0"/>
        <w:adjustRightInd w:val="0"/>
        <w:snapToGrid w:val="0"/>
        <w:spacing w:line="520" w:lineRule="exact"/>
        <w:ind w:firstLine="643" w:firstLineChars="200"/>
        <w:jc w:val="both"/>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b/>
          <w:bCs/>
          <w:color w:val="auto"/>
          <w:sz w:val="32"/>
          <w:szCs w:val="32"/>
        </w:rPr>
        <w:t>——专业建设。</w:t>
      </w:r>
      <w:r>
        <w:rPr>
          <w:rFonts w:hint="eastAsia" w:ascii="方正仿宋_GB2312" w:hAnsi="方正仿宋_GB2312" w:eastAsia="方正仿宋_GB2312" w:cs="方正仿宋_GB2312"/>
          <w:color w:val="auto"/>
          <w:sz w:val="32"/>
          <w:szCs w:val="32"/>
        </w:rPr>
        <w:t>英语专业获批省级一流本科专业；做好英语专业、日语专业、俄语专业，专业总数稳定在3个。获省优势、特色专业1-2个。</w:t>
      </w:r>
    </w:p>
    <w:p>
      <w:pPr>
        <w:keepNext w:val="0"/>
        <w:keepLines w:val="0"/>
        <w:pageBreakBefore w:val="0"/>
        <w:widowControl w:val="0"/>
        <w:tabs>
          <w:tab w:val="left" w:pos="6150"/>
        </w:tabs>
        <w:kinsoku/>
        <w:wordWrap/>
        <w:overflowPunct/>
        <w:topLinePunct w:val="0"/>
        <w:autoSpaceDE/>
        <w:autoSpaceDN/>
        <w:bidi w:val="0"/>
        <w:adjustRightInd w:val="0"/>
        <w:snapToGrid w:val="0"/>
        <w:spacing w:line="520" w:lineRule="exact"/>
        <w:ind w:firstLine="643" w:firstLineChars="200"/>
        <w:jc w:val="both"/>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b/>
          <w:bCs/>
          <w:color w:val="auto"/>
          <w:sz w:val="32"/>
          <w:szCs w:val="32"/>
        </w:rPr>
        <w:t>——人才培养。</w:t>
      </w:r>
      <w:r>
        <w:rPr>
          <w:rFonts w:hint="eastAsia" w:ascii="方正仿宋_GB2312" w:hAnsi="方正仿宋_GB2312" w:eastAsia="方正仿宋_GB2312" w:cs="方正仿宋_GB2312"/>
          <w:color w:val="auto"/>
          <w:sz w:val="32"/>
          <w:szCs w:val="32"/>
        </w:rPr>
        <w:t>进一步推进大学外语分层分类教学改革。获批省级教改课改项目8项，教育部产学研项目7项，出版教材5部，获批国家级一流本科课程</w:t>
      </w:r>
      <w:r>
        <w:rPr>
          <w:rFonts w:hint="eastAsia" w:ascii="方正仿宋_GB2312" w:hAnsi="方正仿宋_GB2312" w:eastAsia="方正仿宋_GB2312" w:cs="方正仿宋_GB2312"/>
          <w:color w:val="auto"/>
          <w:sz w:val="32"/>
          <w:szCs w:val="32"/>
          <w:lang w:val="en-US" w:eastAsia="zh-CN"/>
        </w:rPr>
        <w:t>1</w:t>
      </w:r>
      <w:r>
        <w:rPr>
          <w:rFonts w:hint="eastAsia" w:ascii="方正仿宋_GB2312" w:hAnsi="方正仿宋_GB2312" w:eastAsia="方正仿宋_GB2312" w:cs="方正仿宋_GB2312"/>
          <w:color w:val="auto"/>
          <w:sz w:val="32"/>
          <w:szCs w:val="32"/>
        </w:rPr>
        <w:t>门</w:t>
      </w:r>
      <w:r>
        <w:rPr>
          <w:rFonts w:hint="eastAsia" w:ascii="方正仿宋_GB2312" w:hAnsi="方正仿宋_GB2312" w:eastAsia="方正仿宋_GB2312" w:cs="方正仿宋_GB2312"/>
          <w:color w:val="auto"/>
          <w:sz w:val="32"/>
          <w:szCs w:val="32"/>
          <w:lang w:eastAsia="zh-CN"/>
        </w:rPr>
        <w:t>，</w:t>
      </w:r>
      <w:r>
        <w:rPr>
          <w:rFonts w:hint="eastAsia" w:ascii="方正仿宋_GB2312" w:hAnsi="方正仿宋_GB2312" w:eastAsia="方正仿宋_GB2312" w:cs="方正仿宋_GB2312"/>
          <w:color w:val="auto"/>
          <w:sz w:val="32"/>
          <w:szCs w:val="32"/>
        </w:rPr>
        <w:t>省级一流</w:t>
      </w:r>
      <w:r>
        <w:rPr>
          <w:rFonts w:hint="eastAsia" w:ascii="方正仿宋_GB2312" w:hAnsi="方正仿宋_GB2312" w:eastAsia="方正仿宋_GB2312" w:cs="方正仿宋_GB2312"/>
          <w:color w:val="auto"/>
          <w:sz w:val="32"/>
          <w:szCs w:val="32"/>
          <w:lang w:eastAsia="zh-CN"/>
        </w:rPr>
        <w:t>本科</w:t>
      </w:r>
      <w:r>
        <w:rPr>
          <w:rFonts w:hint="eastAsia" w:ascii="方正仿宋_GB2312" w:hAnsi="方正仿宋_GB2312" w:eastAsia="方正仿宋_GB2312" w:cs="方正仿宋_GB2312"/>
          <w:color w:val="auto"/>
          <w:sz w:val="32"/>
          <w:szCs w:val="32"/>
        </w:rPr>
        <w:t>课程</w:t>
      </w:r>
      <w:r>
        <w:rPr>
          <w:rFonts w:hint="eastAsia" w:ascii="方正仿宋_GB2312" w:hAnsi="方正仿宋_GB2312" w:eastAsia="方正仿宋_GB2312" w:cs="方正仿宋_GB2312"/>
          <w:color w:val="auto"/>
          <w:sz w:val="32"/>
          <w:szCs w:val="32"/>
          <w:lang w:val="en-US" w:eastAsia="zh-CN"/>
        </w:rPr>
        <w:t>5</w:t>
      </w:r>
      <w:r>
        <w:rPr>
          <w:rFonts w:hint="eastAsia" w:ascii="方正仿宋_GB2312" w:hAnsi="方正仿宋_GB2312" w:eastAsia="方正仿宋_GB2312" w:cs="方正仿宋_GB2312"/>
          <w:color w:val="auto"/>
          <w:sz w:val="32"/>
          <w:szCs w:val="32"/>
        </w:rPr>
        <w:t>门，获得省级教学成果奖1项。学科竞赛（A类）省级一等奖及以上奖</w:t>
      </w:r>
      <w:r>
        <w:rPr>
          <w:rFonts w:hint="eastAsia" w:ascii="方正仿宋_GB2312" w:hAnsi="方正仿宋_GB2312" w:eastAsia="方正仿宋_GB2312" w:cs="方正仿宋_GB2312"/>
          <w:color w:val="auto"/>
          <w:sz w:val="32"/>
          <w:szCs w:val="32"/>
          <w:lang w:val="en-US" w:eastAsia="zh-CN"/>
        </w:rPr>
        <w:t>13</w:t>
      </w:r>
      <w:r>
        <w:rPr>
          <w:rFonts w:hint="eastAsia" w:ascii="方正仿宋_GB2312" w:hAnsi="方正仿宋_GB2312" w:eastAsia="方正仿宋_GB2312" w:cs="方正仿宋_GB2312"/>
          <w:color w:val="auto"/>
          <w:sz w:val="32"/>
          <w:szCs w:val="32"/>
        </w:rPr>
        <w:t>项，专四、专八、日语一级通过率大幅提高；提升高质量就业率，英语专业考编率达到30%，外语专业考研</w:t>
      </w:r>
      <w:r>
        <w:rPr>
          <w:rFonts w:hint="eastAsia" w:ascii="方正仿宋_GB2312" w:hAnsi="方正仿宋_GB2312" w:eastAsia="方正仿宋_GB2312" w:cs="方正仿宋_GB2312"/>
          <w:color w:val="auto"/>
          <w:sz w:val="32"/>
          <w:szCs w:val="32"/>
          <w:lang w:eastAsia="zh-CN"/>
        </w:rPr>
        <w:t>录取</w:t>
      </w:r>
      <w:r>
        <w:rPr>
          <w:rFonts w:hint="eastAsia" w:ascii="方正仿宋_GB2312" w:hAnsi="方正仿宋_GB2312" w:eastAsia="方正仿宋_GB2312" w:cs="方正仿宋_GB2312"/>
          <w:color w:val="auto"/>
          <w:sz w:val="32"/>
          <w:szCs w:val="32"/>
        </w:rPr>
        <w:t>率达到20%。</w:t>
      </w:r>
    </w:p>
    <w:p>
      <w:pPr>
        <w:keepNext w:val="0"/>
        <w:keepLines w:val="0"/>
        <w:pageBreakBefore w:val="0"/>
        <w:widowControl w:val="0"/>
        <w:tabs>
          <w:tab w:val="left" w:pos="6150"/>
        </w:tabs>
        <w:kinsoku/>
        <w:wordWrap/>
        <w:overflowPunct/>
        <w:topLinePunct w:val="0"/>
        <w:autoSpaceDE/>
        <w:autoSpaceDN/>
        <w:bidi w:val="0"/>
        <w:adjustRightInd w:val="0"/>
        <w:snapToGrid w:val="0"/>
        <w:spacing w:line="520" w:lineRule="exact"/>
        <w:ind w:firstLine="643" w:firstLineChars="200"/>
        <w:jc w:val="both"/>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b/>
          <w:bCs/>
          <w:color w:val="auto"/>
          <w:sz w:val="32"/>
          <w:szCs w:val="32"/>
        </w:rPr>
        <w:t>——师资队伍建设。</w:t>
      </w:r>
      <w:r>
        <w:rPr>
          <w:rFonts w:hint="eastAsia" w:ascii="方正仿宋_GB2312" w:hAnsi="方正仿宋_GB2312" w:eastAsia="方正仿宋_GB2312" w:cs="方正仿宋_GB2312"/>
          <w:color w:val="auto"/>
          <w:sz w:val="32"/>
          <w:szCs w:val="32"/>
        </w:rPr>
        <w:t>加大外引内培，提升专业水平。专任教师队伍总数达到9</w:t>
      </w:r>
      <w:r>
        <w:rPr>
          <w:rFonts w:hint="eastAsia" w:ascii="方正仿宋_GB2312" w:hAnsi="方正仿宋_GB2312" w:eastAsia="方正仿宋_GB2312" w:cs="方正仿宋_GB2312"/>
          <w:color w:val="auto"/>
          <w:sz w:val="32"/>
          <w:szCs w:val="32"/>
          <w:lang w:val="en-US" w:eastAsia="zh-CN"/>
        </w:rPr>
        <w:t>5</w:t>
      </w:r>
      <w:r>
        <w:rPr>
          <w:rFonts w:hint="eastAsia" w:ascii="方正仿宋_GB2312" w:hAnsi="方正仿宋_GB2312" w:eastAsia="方正仿宋_GB2312" w:cs="方正仿宋_GB2312"/>
          <w:color w:val="auto"/>
          <w:sz w:val="32"/>
          <w:szCs w:val="32"/>
        </w:rPr>
        <w:t>人左右，</w:t>
      </w:r>
      <w:r>
        <w:rPr>
          <w:rFonts w:hint="eastAsia" w:ascii="方正仿宋_GB2312" w:hAnsi="方正仿宋_GB2312" w:eastAsia="方正仿宋_GB2312" w:cs="方正仿宋_GB2312"/>
          <w:color w:val="auto"/>
          <w:sz w:val="32"/>
          <w:szCs w:val="32"/>
          <w:lang w:eastAsia="zh-CN"/>
        </w:rPr>
        <w:t>其中正高职务专任教师数</w:t>
      </w:r>
      <w:r>
        <w:rPr>
          <w:rFonts w:hint="eastAsia" w:ascii="方正仿宋_GB2312" w:hAnsi="方正仿宋_GB2312" w:eastAsia="方正仿宋_GB2312" w:cs="方正仿宋_GB2312"/>
          <w:color w:val="auto"/>
          <w:sz w:val="32"/>
          <w:szCs w:val="32"/>
          <w:lang w:val="en-US" w:eastAsia="zh-CN"/>
        </w:rPr>
        <w:t>10人、高级职称专任教师数26人，</w:t>
      </w:r>
      <w:r>
        <w:rPr>
          <w:rFonts w:hint="eastAsia" w:ascii="方正仿宋_GB2312" w:hAnsi="方正仿宋_GB2312" w:eastAsia="方正仿宋_GB2312" w:cs="方正仿宋_GB2312"/>
          <w:color w:val="auto"/>
          <w:sz w:val="32"/>
          <w:szCs w:val="32"/>
        </w:rPr>
        <w:t>专任教师中具有博士学位教师比例达到</w:t>
      </w:r>
      <w:r>
        <w:rPr>
          <w:rFonts w:hint="eastAsia" w:ascii="方正仿宋_GB2312" w:hAnsi="方正仿宋_GB2312" w:eastAsia="方正仿宋_GB2312" w:cs="方正仿宋_GB2312"/>
          <w:color w:val="auto"/>
          <w:sz w:val="32"/>
          <w:szCs w:val="32"/>
          <w:lang w:val="en-US" w:eastAsia="zh-CN"/>
        </w:rPr>
        <w:t>4</w:t>
      </w:r>
      <w:r>
        <w:rPr>
          <w:rFonts w:hint="eastAsia" w:ascii="方正仿宋_GB2312" w:hAnsi="方正仿宋_GB2312" w:eastAsia="方正仿宋_GB2312" w:cs="方正仿宋_GB2312"/>
          <w:color w:val="auto"/>
          <w:sz w:val="32"/>
          <w:szCs w:val="32"/>
        </w:rPr>
        <w:t>0%以上，入选省级人才项目教师数</w:t>
      </w:r>
      <w:r>
        <w:rPr>
          <w:rFonts w:hint="eastAsia" w:ascii="方正仿宋_GB2312" w:hAnsi="方正仿宋_GB2312" w:eastAsia="方正仿宋_GB2312" w:cs="方正仿宋_GB2312"/>
          <w:color w:val="auto"/>
          <w:sz w:val="32"/>
          <w:szCs w:val="32"/>
          <w:lang w:val="en-US" w:eastAsia="zh-CN"/>
        </w:rPr>
        <w:t>2</w:t>
      </w:r>
      <w:r>
        <w:rPr>
          <w:rFonts w:hint="eastAsia" w:ascii="方正仿宋_GB2312" w:hAnsi="方正仿宋_GB2312" w:eastAsia="方正仿宋_GB2312" w:cs="方正仿宋_GB2312"/>
          <w:color w:val="auto"/>
          <w:sz w:val="32"/>
          <w:szCs w:val="32"/>
        </w:rPr>
        <w:t>人</w:t>
      </w:r>
      <w:r>
        <w:rPr>
          <w:rFonts w:hint="eastAsia" w:ascii="方正仿宋_GB2312" w:hAnsi="方正仿宋_GB2312" w:eastAsia="方正仿宋_GB2312" w:cs="方正仿宋_GB2312"/>
          <w:color w:val="auto"/>
          <w:sz w:val="32"/>
          <w:szCs w:val="32"/>
          <w:lang w:eastAsia="zh-CN"/>
        </w:rPr>
        <w:t>，</w:t>
      </w:r>
      <w:r>
        <w:rPr>
          <w:rFonts w:hint="eastAsia" w:ascii="方正仿宋_GB2312" w:hAnsi="方正仿宋_GB2312" w:eastAsia="方正仿宋_GB2312" w:cs="方正仿宋_GB2312"/>
          <w:color w:val="auto"/>
          <w:sz w:val="32"/>
          <w:szCs w:val="32"/>
        </w:rPr>
        <w:t>专任教师国(境)外访学6个月及以上人员占比</w:t>
      </w:r>
      <w:r>
        <w:rPr>
          <w:rFonts w:hint="eastAsia" w:ascii="方正仿宋_GB2312" w:hAnsi="方正仿宋_GB2312" w:eastAsia="方正仿宋_GB2312" w:cs="方正仿宋_GB2312"/>
          <w:color w:val="auto"/>
          <w:sz w:val="32"/>
          <w:szCs w:val="32"/>
          <w:lang w:val="en-US" w:eastAsia="zh-CN"/>
        </w:rPr>
        <w:t>5</w:t>
      </w:r>
      <w:r>
        <w:rPr>
          <w:rFonts w:hint="eastAsia" w:ascii="方正仿宋_GB2312" w:hAnsi="方正仿宋_GB2312" w:eastAsia="方正仿宋_GB2312" w:cs="方正仿宋_GB2312"/>
          <w:color w:val="auto"/>
          <w:sz w:val="32"/>
          <w:szCs w:val="32"/>
        </w:rPr>
        <w:t>0%以上</w:t>
      </w:r>
      <w:r>
        <w:rPr>
          <w:rFonts w:hint="eastAsia" w:ascii="方正仿宋_GB2312" w:hAnsi="方正仿宋_GB2312" w:eastAsia="方正仿宋_GB2312" w:cs="方正仿宋_GB2312"/>
          <w:color w:val="auto"/>
          <w:sz w:val="32"/>
          <w:szCs w:val="32"/>
          <w:lang w:eastAsia="zh-CN"/>
        </w:rPr>
        <w:t>，“双师双能型”教师比例</w:t>
      </w:r>
      <w:r>
        <w:rPr>
          <w:rFonts w:hint="eastAsia" w:ascii="方正仿宋_GB2312" w:hAnsi="方正仿宋_GB2312" w:eastAsia="方正仿宋_GB2312" w:cs="方正仿宋_GB2312"/>
          <w:color w:val="auto"/>
          <w:sz w:val="32"/>
          <w:szCs w:val="32"/>
          <w:lang w:val="en-US" w:eastAsia="zh-CN"/>
        </w:rPr>
        <w:t>50%</w:t>
      </w:r>
      <w:r>
        <w:rPr>
          <w:rFonts w:hint="eastAsia" w:ascii="方正仿宋_GB2312" w:hAnsi="方正仿宋_GB2312" w:eastAsia="方正仿宋_GB2312" w:cs="方正仿宋_GB2312"/>
          <w:color w:val="auto"/>
          <w:sz w:val="32"/>
          <w:szCs w:val="32"/>
        </w:rPr>
        <w:t>。</w:t>
      </w:r>
    </w:p>
    <w:p>
      <w:pPr>
        <w:keepNext w:val="0"/>
        <w:keepLines w:val="0"/>
        <w:pageBreakBefore w:val="0"/>
        <w:widowControl w:val="0"/>
        <w:tabs>
          <w:tab w:val="left" w:pos="6150"/>
        </w:tabs>
        <w:kinsoku/>
        <w:wordWrap/>
        <w:overflowPunct/>
        <w:topLinePunct w:val="0"/>
        <w:autoSpaceDE/>
        <w:autoSpaceDN/>
        <w:bidi w:val="0"/>
        <w:adjustRightInd w:val="0"/>
        <w:snapToGrid w:val="0"/>
        <w:spacing w:line="520" w:lineRule="exact"/>
        <w:ind w:firstLine="643" w:firstLineChars="200"/>
        <w:jc w:val="both"/>
        <w:textAlignment w:val="auto"/>
        <w:rPr>
          <w:rFonts w:hint="eastAsia" w:ascii="方正仿宋_GB2312" w:hAnsi="方正仿宋_GB2312" w:eastAsia="方正仿宋_GB2312" w:cs="方正仿宋_GB2312"/>
          <w:color w:val="auto"/>
          <w:sz w:val="32"/>
          <w:szCs w:val="32"/>
          <w:lang w:eastAsia="zh-CN"/>
        </w:rPr>
      </w:pPr>
      <w:r>
        <w:rPr>
          <w:rFonts w:hint="eastAsia" w:ascii="方正仿宋_GB2312" w:hAnsi="方正仿宋_GB2312" w:eastAsia="方正仿宋_GB2312" w:cs="方正仿宋_GB2312"/>
          <w:b/>
          <w:bCs/>
          <w:color w:val="auto"/>
          <w:sz w:val="32"/>
          <w:szCs w:val="32"/>
        </w:rPr>
        <w:t>——科学研究和服务地方。</w:t>
      </w:r>
      <w:r>
        <w:rPr>
          <w:rFonts w:hint="eastAsia" w:ascii="方正仿宋_GB2312" w:hAnsi="方正仿宋_GB2312" w:eastAsia="方正仿宋_GB2312" w:cs="方正仿宋_GB2312"/>
          <w:color w:val="auto"/>
          <w:sz w:val="32"/>
          <w:szCs w:val="32"/>
        </w:rPr>
        <w:t>获国家级立项</w:t>
      </w:r>
      <w:r>
        <w:rPr>
          <w:rFonts w:hint="eastAsia" w:ascii="方正仿宋_GB2312" w:hAnsi="方正仿宋_GB2312" w:eastAsia="方正仿宋_GB2312" w:cs="方正仿宋_GB2312"/>
          <w:color w:val="auto"/>
          <w:sz w:val="32"/>
          <w:szCs w:val="32"/>
          <w:lang w:val="en-US" w:eastAsia="zh-CN"/>
        </w:rPr>
        <w:t>7</w:t>
      </w:r>
      <w:r>
        <w:rPr>
          <w:rFonts w:hint="eastAsia" w:ascii="方正仿宋_GB2312" w:hAnsi="方正仿宋_GB2312" w:eastAsia="方正仿宋_GB2312" w:cs="方正仿宋_GB2312"/>
          <w:color w:val="auto"/>
          <w:sz w:val="32"/>
          <w:szCs w:val="32"/>
        </w:rPr>
        <w:t>项，省级项目立项1</w:t>
      </w:r>
      <w:r>
        <w:rPr>
          <w:rFonts w:hint="eastAsia" w:ascii="方正仿宋_GB2312" w:hAnsi="方正仿宋_GB2312" w:eastAsia="方正仿宋_GB2312" w:cs="方正仿宋_GB2312"/>
          <w:color w:val="auto"/>
          <w:sz w:val="32"/>
          <w:szCs w:val="32"/>
          <w:lang w:val="en-US" w:eastAsia="zh-CN"/>
        </w:rPr>
        <w:t>2</w:t>
      </w:r>
      <w:r>
        <w:rPr>
          <w:rFonts w:hint="eastAsia" w:ascii="方正仿宋_GB2312" w:hAnsi="方正仿宋_GB2312" w:eastAsia="方正仿宋_GB2312" w:cs="方正仿宋_GB2312"/>
          <w:color w:val="auto"/>
          <w:sz w:val="32"/>
          <w:szCs w:val="32"/>
        </w:rPr>
        <w:t>项，获得省部级以上科研奖项</w:t>
      </w:r>
      <w:r>
        <w:rPr>
          <w:rFonts w:hint="eastAsia" w:ascii="方正仿宋_GB2312" w:hAnsi="方正仿宋_GB2312" w:eastAsia="方正仿宋_GB2312" w:cs="方正仿宋_GB2312"/>
          <w:color w:val="auto"/>
          <w:sz w:val="32"/>
          <w:szCs w:val="32"/>
          <w:lang w:val="en-US" w:eastAsia="zh-CN"/>
        </w:rPr>
        <w:t>2</w:t>
      </w:r>
      <w:r>
        <w:rPr>
          <w:rFonts w:hint="eastAsia" w:ascii="方正仿宋_GB2312" w:hAnsi="方正仿宋_GB2312" w:eastAsia="方正仿宋_GB2312" w:cs="方正仿宋_GB2312"/>
          <w:color w:val="auto"/>
          <w:sz w:val="32"/>
          <w:szCs w:val="32"/>
        </w:rPr>
        <w:t>个，第一单位或通讯单位发表重要科研论文（论著）</w:t>
      </w:r>
      <w:r>
        <w:rPr>
          <w:rFonts w:hint="eastAsia" w:ascii="方正仿宋_GB2312" w:hAnsi="方正仿宋_GB2312" w:eastAsia="方正仿宋_GB2312" w:cs="方正仿宋_GB2312"/>
          <w:color w:val="auto"/>
          <w:sz w:val="32"/>
          <w:szCs w:val="32"/>
          <w:lang w:val="en-US" w:eastAsia="zh-CN"/>
        </w:rPr>
        <w:t>50</w:t>
      </w:r>
      <w:r>
        <w:rPr>
          <w:rFonts w:hint="eastAsia" w:ascii="方正仿宋_GB2312" w:hAnsi="方正仿宋_GB2312" w:eastAsia="方正仿宋_GB2312" w:cs="方正仿宋_GB2312"/>
          <w:color w:val="auto"/>
          <w:sz w:val="32"/>
          <w:szCs w:val="32"/>
        </w:rPr>
        <w:t>篇（部）</w:t>
      </w:r>
      <w:r>
        <w:rPr>
          <w:rFonts w:hint="eastAsia" w:ascii="方正仿宋_GB2312" w:hAnsi="方正仿宋_GB2312" w:eastAsia="方正仿宋_GB2312" w:cs="方正仿宋_GB2312"/>
          <w:color w:val="auto"/>
          <w:sz w:val="32"/>
          <w:szCs w:val="32"/>
          <w:lang w:eastAsia="zh-CN"/>
        </w:rPr>
        <w:t>，</w:t>
      </w:r>
      <w:r>
        <w:rPr>
          <w:rFonts w:hint="eastAsia" w:ascii="方正仿宋_GB2312" w:hAnsi="方正仿宋_GB2312" w:eastAsia="方正仿宋_GB2312" w:cs="方正仿宋_GB2312"/>
          <w:color w:val="auto"/>
          <w:sz w:val="32"/>
          <w:szCs w:val="32"/>
        </w:rPr>
        <w:t>到账科研经费</w:t>
      </w:r>
      <w:r>
        <w:rPr>
          <w:rFonts w:hint="eastAsia" w:ascii="方正仿宋_GB2312" w:hAnsi="方正仿宋_GB2312" w:eastAsia="方正仿宋_GB2312" w:cs="方正仿宋_GB2312"/>
          <w:color w:val="auto"/>
          <w:sz w:val="32"/>
          <w:szCs w:val="32"/>
          <w:lang w:val="en-US" w:eastAsia="zh-CN"/>
        </w:rPr>
        <w:t>1000</w:t>
      </w:r>
      <w:r>
        <w:rPr>
          <w:rFonts w:hint="eastAsia" w:ascii="方正仿宋_GB2312" w:hAnsi="方正仿宋_GB2312" w:eastAsia="方正仿宋_GB2312" w:cs="方正仿宋_GB2312"/>
          <w:color w:val="auto"/>
          <w:sz w:val="32"/>
          <w:szCs w:val="32"/>
        </w:rPr>
        <w:t>万元</w:t>
      </w:r>
      <w:r>
        <w:rPr>
          <w:rFonts w:hint="eastAsia" w:ascii="方正仿宋_GB2312" w:hAnsi="方正仿宋_GB2312" w:eastAsia="方正仿宋_GB2312" w:cs="方正仿宋_GB2312"/>
          <w:color w:val="auto"/>
          <w:sz w:val="32"/>
          <w:szCs w:val="32"/>
          <w:lang w:eastAsia="zh-CN"/>
        </w:rPr>
        <w:t>。</w:t>
      </w:r>
      <w:r>
        <w:rPr>
          <w:rFonts w:hint="eastAsia" w:ascii="方正仿宋_GB2312" w:hAnsi="方正仿宋_GB2312" w:eastAsia="方正仿宋_GB2312" w:cs="方正仿宋_GB2312"/>
          <w:color w:val="auto"/>
          <w:sz w:val="32"/>
          <w:szCs w:val="32"/>
        </w:rPr>
        <w:t>完善服务地方体制机制，开拓涉外服务项目，横向课题到账经费在</w:t>
      </w:r>
      <w:r>
        <w:rPr>
          <w:rFonts w:hint="eastAsia" w:ascii="方正仿宋_GB2312" w:hAnsi="方正仿宋_GB2312" w:eastAsia="方正仿宋_GB2312" w:cs="方正仿宋_GB2312"/>
          <w:color w:val="auto"/>
          <w:sz w:val="32"/>
          <w:szCs w:val="32"/>
          <w:lang w:val="en-US" w:eastAsia="zh-CN"/>
        </w:rPr>
        <w:t>800</w:t>
      </w:r>
      <w:r>
        <w:rPr>
          <w:rFonts w:hint="eastAsia" w:ascii="方正仿宋_GB2312" w:hAnsi="方正仿宋_GB2312" w:eastAsia="方正仿宋_GB2312" w:cs="方正仿宋_GB2312"/>
          <w:color w:val="auto"/>
          <w:sz w:val="32"/>
          <w:szCs w:val="32"/>
        </w:rPr>
        <w:t>万元</w:t>
      </w:r>
      <w:r>
        <w:rPr>
          <w:rFonts w:hint="eastAsia" w:ascii="方正仿宋_GB2312" w:hAnsi="方正仿宋_GB2312" w:eastAsia="方正仿宋_GB2312" w:cs="方正仿宋_GB2312"/>
          <w:color w:val="auto"/>
          <w:sz w:val="32"/>
          <w:szCs w:val="32"/>
          <w:lang w:eastAsia="zh-CN"/>
        </w:rPr>
        <w:t>，其中百万级以上项目</w:t>
      </w:r>
      <w:r>
        <w:rPr>
          <w:rFonts w:hint="eastAsia" w:ascii="方正仿宋_GB2312" w:hAnsi="方正仿宋_GB2312" w:eastAsia="方正仿宋_GB2312" w:cs="方正仿宋_GB2312"/>
          <w:color w:val="auto"/>
          <w:sz w:val="32"/>
          <w:szCs w:val="32"/>
          <w:lang w:val="en-US" w:eastAsia="zh-CN"/>
        </w:rPr>
        <w:t>2</w:t>
      </w:r>
      <w:r>
        <w:rPr>
          <w:rFonts w:hint="eastAsia" w:ascii="方正仿宋_GB2312" w:hAnsi="方正仿宋_GB2312" w:eastAsia="方正仿宋_GB2312" w:cs="方正仿宋_GB2312"/>
          <w:color w:val="auto"/>
          <w:sz w:val="32"/>
          <w:szCs w:val="32"/>
          <w:lang w:eastAsia="zh-CN"/>
        </w:rPr>
        <w:t>个，</w:t>
      </w:r>
      <w:r>
        <w:rPr>
          <w:rFonts w:hint="eastAsia" w:ascii="方正仿宋_GB2312" w:hAnsi="方正仿宋_GB2312" w:eastAsia="方正仿宋_GB2312" w:cs="方正仿宋_GB2312"/>
          <w:color w:val="auto"/>
          <w:sz w:val="32"/>
          <w:szCs w:val="32"/>
        </w:rPr>
        <w:t>社会捐赠到账金额</w:t>
      </w:r>
      <w:r>
        <w:rPr>
          <w:rFonts w:hint="eastAsia" w:ascii="方正仿宋_GB2312" w:hAnsi="方正仿宋_GB2312" w:eastAsia="方正仿宋_GB2312" w:cs="方正仿宋_GB2312"/>
          <w:color w:val="auto"/>
          <w:sz w:val="32"/>
          <w:szCs w:val="32"/>
          <w:lang w:val="en-US" w:eastAsia="zh-CN"/>
        </w:rPr>
        <w:t>115</w:t>
      </w:r>
      <w:r>
        <w:rPr>
          <w:rFonts w:hint="eastAsia" w:ascii="方正仿宋_GB2312" w:hAnsi="方正仿宋_GB2312" w:eastAsia="方正仿宋_GB2312" w:cs="方正仿宋_GB2312"/>
          <w:color w:val="auto"/>
          <w:sz w:val="32"/>
          <w:szCs w:val="32"/>
        </w:rPr>
        <w:t>万元</w:t>
      </w:r>
      <w:r>
        <w:rPr>
          <w:rFonts w:hint="eastAsia" w:ascii="方正仿宋_GB2312" w:hAnsi="方正仿宋_GB2312" w:eastAsia="方正仿宋_GB2312" w:cs="方正仿宋_GB2312"/>
          <w:color w:val="auto"/>
          <w:sz w:val="32"/>
          <w:szCs w:val="32"/>
          <w:lang w:eastAsia="zh-CN"/>
        </w:rPr>
        <w:t>，继续教育毛收入数</w:t>
      </w:r>
      <w:r>
        <w:rPr>
          <w:rFonts w:hint="eastAsia" w:ascii="方正仿宋_GB2312" w:hAnsi="方正仿宋_GB2312" w:eastAsia="方正仿宋_GB2312" w:cs="方正仿宋_GB2312"/>
          <w:color w:val="auto"/>
          <w:sz w:val="32"/>
          <w:szCs w:val="32"/>
          <w:lang w:val="en-US" w:eastAsia="zh-CN"/>
        </w:rPr>
        <w:t>300</w:t>
      </w:r>
      <w:r>
        <w:rPr>
          <w:rFonts w:hint="eastAsia" w:ascii="方正仿宋_GB2312" w:hAnsi="方正仿宋_GB2312" w:eastAsia="方正仿宋_GB2312" w:cs="方正仿宋_GB2312"/>
          <w:color w:val="auto"/>
          <w:sz w:val="32"/>
          <w:szCs w:val="32"/>
          <w:lang w:eastAsia="zh-CN"/>
        </w:rPr>
        <w:t>万元</w:t>
      </w:r>
      <w:r>
        <w:rPr>
          <w:rFonts w:hint="eastAsia" w:ascii="方正仿宋_GB2312" w:hAnsi="方正仿宋_GB2312" w:eastAsia="方正仿宋_GB2312" w:cs="方正仿宋_GB2312"/>
          <w:color w:val="auto"/>
          <w:sz w:val="32"/>
          <w:szCs w:val="32"/>
          <w:lang w:val="en-US" w:eastAsia="zh-CN"/>
        </w:rPr>
        <w:t>。</w:t>
      </w:r>
    </w:p>
    <w:p>
      <w:pPr>
        <w:keepNext w:val="0"/>
        <w:keepLines w:val="0"/>
        <w:pageBreakBefore w:val="0"/>
        <w:widowControl w:val="0"/>
        <w:tabs>
          <w:tab w:val="left" w:pos="6150"/>
        </w:tabs>
        <w:kinsoku/>
        <w:wordWrap/>
        <w:overflowPunct/>
        <w:topLinePunct w:val="0"/>
        <w:autoSpaceDE/>
        <w:autoSpaceDN/>
        <w:bidi w:val="0"/>
        <w:adjustRightInd w:val="0"/>
        <w:snapToGrid w:val="0"/>
        <w:spacing w:line="520" w:lineRule="exact"/>
        <w:ind w:firstLine="643" w:firstLineChars="200"/>
        <w:jc w:val="both"/>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b/>
          <w:bCs/>
          <w:color w:val="auto"/>
          <w:sz w:val="32"/>
          <w:szCs w:val="32"/>
        </w:rPr>
        <w:t>——教育国际化。</w:t>
      </w:r>
      <w:r>
        <w:rPr>
          <w:rFonts w:hint="eastAsia" w:ascii="方正仿宋_GB2312" w:hAnsi="方正仿宋_GB2312" w:eastAsia="方正仿宋_GB2312" w:cs="方正仿宋_GB2312"/>
          <w:color w:val="auto"/>
          <w:sz w:val="32"/>
          <w:szCs w:val="32"/>
        </w:rPr>
        <w:t>立足长三角，融入“一带一路”，国际化水平跻身全省同类院校先进行列。教育国际化稳步推进，外派交换生百分比达到2%以上。来校工作的外籍教师百分比达到5%以上。扩大合作办学项目。与学校跨文化研究中心做好资源整合工作。</w:t>
      </w:r>
    </w:p>
    <w:p>
      <w:pPr>
        <w:keepNext w:val="0"/>
        <w:keepLines w:val="0"/>
        <w:pageBreakBefore w:val="0"/>
        <w:widowControl w:val="0"/>
        <w:tabs>
          <w:tab w:val="left" w:pos="6150"/>
        </w:tabs>
        <w:kinsoku/>
        <w:wordWrap/>
        <w:overflowPunct/>
        <w:topLinePunct w:val="0"/>
        <w:autoSpaceDE/>
        <w:autoSpaceDN/>
        <w:bidi w:val="0"/>
        <w:adjustRightInd w:val="0"/>
        <w:snapToGrid w:val="0"/>
        <w:spacing w:line="520" w:lineRule="exact"/>
        <w:ind w:firstLine="640" w:firstLineChars="200"/>
        <w:jc w:val="both"/>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w:t>
      </w:r>
      <w:r>
        <w:rPr>
          <w:rFonts w:hint="eastAsia" w:ascii="方正仿宋_GB2312" w:hAnsi="方正仿宋_GB2312" w:eastAsia="方正仿宋_GB2312" w:cs="方正仿宋_GB2312"/>
          <w:b/>
          <w:bCs/>
          <w:color w:val="auto"/>
          <w:sz w:val="32"/>
          <w:szCs w:val="32"/>
        </w:rPr>
        <w:t>学院文化。</w:t>
      </w:r>
      <w:r>
        <w:rPr>
          <w:rFonts w:hint="eastAsia" w:ascii="方正仿宋_GB2312" w:hAnsi="方正仿宋_GB2312" w:eastAsia="方正仿宋_GB2312" w:cs="方正仿宋_GB2312"/>
          <w:color w:val="auto"/>
          <w:sz w:val="32"/>
          <w:szCs w:val="32"/>
        </w:rPr>
        <w:t>改建学院门厅、楼道走廊、中心小院，彰显外国语学院开放、大气的文化气质，凸显师范特色</w:t>
      </w:r>
      <w:r>
        <w:rPr>
          <w:rFonts w:hint="eastAsia" w:ascii="方正仿宋_GB2312" w:hAnsi="方正仿宋_GB2312" w:eastAsia="方正仿宋_GB2312" w:cs="方正仿宋_GB2312"/>
          <w:color w:val="auto"/>
          <w:sz w:val="32"/>
          <w:szCs w:val="32"/>
          <w:lang w:eastAsia="zh-CN"/>
        </w:rPr>
        <w:t>；</w:t>
      </w:r>
      <w:r>
        <w:rPr>
          <w:rFonts w:hint="eastAsia" w:ascii="方正仿宋_GB2312" w:hAnsi="方正仿宋_GB2312" w:eastAsia="方正仿宋_GB2312" w:cs="方正仿宋_GB2312"/>
          <w:color w:val="auto"/>
          <w:sz w:val="32"/>
          <w:szCs w:val="32"/>
        </w:rPr>
        <w:t>增加休读点、浓厚读书氛围。在“一节一角一桥”文化品牌基础上，形成1-2个具有时代特征的文化品牌。</w:t>
      </w:r>
    </w:p>
    <w:p>
      <w:pPr>
        <w:keepNext w:val="0"/>
        <w:keepLines w:val="0"/>
        <w:pageBreakBefore w:val="0"/>
        <w:widowControl w:val="0"/>
        <w:tabs>
          <w:tab w:val="left" w:pos="6150"/>
        </w:tabs>
        <w:kinsoku/>
        <w:wordWrap/>
        <w:overflowPunct/>
        <w:topLinePunct w:val="0"/>
        <w:autoSpaceDE/>
        <w:autoSpaceDN/>
        <w:bidi w:val="0"/>
        <w:adjustRightInd w:val="0"/>
        <w:snapToGrid w:val="0"/>
        <w:spacing w:line="520" w:lineRule="exact"/>
        <w:ind w:firstLine="640" w:firstLineChars="200"/>
        <w:jc w:val="both"/>
        <w:textAlignment w:val="auto"/>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rPr>
        <w:t>四、主要任务</w:t>
      </w:r>
    </w:p>
    <w:p>
      <w:pPr>
        <w:pageBreakBefore w:val="0"/>
        <w:widowControl w:val="0"/>
        <w:tabs>
          <w:tab w:val="left" w:pos="6150"/>
        </w:tabs>
        <w:kinsoku/>
        <w:wordWrap/>
        <w:overflowPunct/>
        <w:topLinePunct w:val="0"/>
        <w:autoSpaceDE/>
        <w:autoSpaceDN/>
        <w:bidi w:val="0"/>
        <w:adjustRightInd w:val="0"/>
        <w:snapToGrid w:val="0"/>
        <w:spacing w:line="520" w:lineRule="exact"/>
        <w:ind w:firstLine="643" w:firstLineChars="200"/>
        <w:jc w:val="both"/>
        <w:textAlignment w:val="auto"/>
        <w:rPr>
          <w:rFonts w:hint="eastAsia" w:ascii="楷体" w:hAnsi="楷体" w:eastAsia="楷体" w:cs="楷体"/>
          <w:b/>
          <w:bCs/>
          <w:color w:val="auto"/>
          <w:sz w:val="32"/>
          <w:szCs w:val="32"/>
        </w:rPr>
      </w:pPr>
      <w:r>
        <w:rPr>
          <w:rFonts w:hint="eastAsia" w:ascii="楷体" w:hAnsi="楷体" w:eastAsia="楷体" w:cs="楷体"/>
          <w:b/>
          <w:color w:val="auto"/>
          <w:sz w:val="32"/>
          <w:szCs w:val="32"/>
        </w:rPr>
        <w:t>（一）</w:t>
      </w:r>
      <w:r>
        <w:rPr>
          <w:rFonts w:hint="eastAsia" w:ascii="楷体" w:hAnsi="楷体" w:eastAsia="楷体" w:cs="楷体"/>
          <w:b/>
          <w:bCs/>
          <w:color w:val="auto"/>
          <w:sz w:val="32"/>
          <w:szCs w:val="32"/>
        </w:rPr>
        <w:t>学科建设</w:t>
      </w:r>
    </w:p>
    <w:p>
      <w:pPr>
        <w:keepNext w:val="0"/>
        <w:keepLines w:val="0"/>
        <w:pageBreakBefore w:val="0"/>
        <w:widowControl w:val="0"/>
        <w:tabs>
          <w:tab w:val="left" w:pos="6150"/>
        </w:tabs>
        <w:kinsoku/>
        <w:wordWrap/>
        <w:overflowPunct/>
        <w:topLinePunct w:val="0"/>
        <w:autoSpaceDE/>
        <w:autoSpaceDN/>
        <w:bidi w:val="0"/>
        <w:adjustRightInd w:val="0"/>
        <w:snapToGrid w:val="0"/>
        <w:spacing w:line="520" w:lineRule="exact"/>
        <w:ind w:firstLine="640" w:firstLineChars="200"/>
        <w:jc w:val="both"/>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学科建设是龙头。突出学科建设重点方向，对学科建设进行合理分层，构建分层分类推进框架，基本形成以英语师范教育为传统底蕴，英语语言文学、日语语言文学、俄语语言文学协调发展的学科构架。</w:t>
      </w:r>
    </w:p>
    <w:p>
      <w:pPr>
        <w:keepNext w:val="0"/>
        <w:keepLines w:val="0"/>
        <w:pageBreakBefore w:val="0"/>
        <w:widowControl w:val="0"/>
        <w:numPr>
          <w:ilvl w:val="0"/>
          <w:numId w:val="2"/>
        </w:numPr>
        <w:kinsoku/>
        <w:wordWrap/>
        <w:overflowPunct/>
        <w:topLinePunct w:val="0"/>
        <w:autoSpaceDE/>
        <w:autoSpaceDN/>
        <w:bidi w:val="0"/>
        <w:adjustRightInd/>
        <w:snapToGrid/>
        <w:spacing w:line="520" w:lineRule="exact"/>
        <w:ind w:firstLine="643" w:firstLineChars="200"/>
        <w:jc w:val="both"/>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b/>
          <w:color w:val="auto"/>
          <w:sz w:val="32"/>
          <w:szCs w:val="32"/>
        </w:rPr>
        <w:t>调整学科研究方向。</w:t>
      </w:r>
      <w:r>
        <w:rPr>
          <w:rFonts w:hint="eastAsia" w:ascii="方正仿宋_GB2312" w:hAnsi="方正仿宋_GB2312" w:eastAsia="方正仿宋_GB2312" w:cs="方正仿宋_GB2312"/>
          <w:color w:val="auto"/>
          <w:sz w:val="32"/>
          <w:szCs w:val="32"/>
        </w:rPr>
        <w:t>“十三五”期间，逐步形成了翻译、应用语言学、外国文学、英语教学四个</w:t>
      </w:r>
      <w:r>
        <w:rPr>
          <w:rFonts w:hint="eastAsia" w:ascii="方正仿宋_GB2312" w:hAnsi="方正仿宋_GB2312" w:eastAsia="方正仿宋_GB2312" w:cs="方正仿宋_GB2312"/>
          <w:color w:val="auto"/>
          <w:sz w:val="32"/>
          <w:szCs w:val="32"/>
          <w:lang w:eastAsia="zh-CN"/>
        </w:rPr>
        <w:t>学科研究</w:t>
      </w:r>
      <w:r>
        <w:rPr>
          <w:rFonts w:hint="eastAsia" w:ascii="方正仿宋_GB2312" w:hAnsi="方正仿宋_GB2312" w:eastAsia="方正仿宋_GB2312" w:cs="方正仿宋_GB2312"/>
          <w:color w:val="auto"/>
          <w:sz w:val="32"/>
          <w:szCs w:val="32"/>
        </w:rPr>
        <w:t>方向，但每一个方向都比较粗放，研究点过于分散，没有形成合力。“十四五”期间，要下大力气进一步凝练方向，形成合力。</w:t>
      </w:r>
    </w:p>
    <w:p>
      <w:pPr>
        <w:keepNext w:val="0"/>
        <w:keepLines w:val="0"/>
        <w:pageBreakBefore w:val="0"/>
        <w:widowControl w:val="0"/>
        <w:kinsoku/>
        <w:wordWrap/>
        <w:overflowPunct/>
        <w:topLinePunct w:val="0"/>
        <w:autoSpaceDE/>
        <w:autoSpaceDN/>
        <w:bidi w:val="0"/>
        <w:adjustRightInd/>
        <w:snapToGrid/>
        <w:spacing w:line="520" w:lineRule="exact"/>
        <w:ind w:firstLine="643" w:firstLineChars="200"/>
        <w:jc w:val="both"/>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b/>
          <w:color w:val="auto"/>
          <w:sz w:val="32"/>
          <w:szCs w:val="32"/>
        </w:rPr>
        <w:t>翻译研究：</w:t>
      </w:r>
      <w:r>
        <w:rPr>
          <w:rFonts w:hint="eastAsia" w:ascii="方正仿宋_GB2312" w:hAnsi="方正仿宋_GB2312" w:eastAsia="方正仿宋_GB2312" w:cs="方正仿宋_GB2312"/>
          <w:color w:val="auto"/>
          <w:sz w:val="32"/>
          <w:szCs w:val="32"/>
        </w:rPr>
        <w:t>在坚持翻译理论、文化比较研究的基础上，通过师资力量的优化，加大翻译方向</w:t>
      </w:r>
      <w:r>
        <w:rPr>
          <w:rFonts w:hint="eastAsia" w:ascii="方正仿宋_GB2312" w:hAnsi="方正仿宋_GB2312" w:eastAsia="方正仿宋_GB2312" w:cs="方正仿宋_GB2312"/>
          <w:color w:val="auto"/>
          <w:sz w:val="32"/>
          <w:szCs w:val="32"/>
          <w:lang w:eastAsia="zh-CN"/>
        </w:rPr>
        <w:t>的</w:t>
      </w:r>
      <w:r>
        <w:rPr>
          <w:rFonts w:hint="eastAsia" w:ascii="方正仿宋_GB2312" w:hAnsi="方正仿宋_GB2312" w:eastAsia="方正仿宋_GB2312" w:cs="方正仿宋_GB2312"/>
          <w:color w:val="auto"/>
          <w:sz w:val="32"/>
          <w:szCs w:val="32"/>
        </w:rPr>
        <w:t>力量和研究范畴。研究重点是翻译与跨文化交际。</w:t>
      </w:r>
    </w:p>
    <w:p>
      <w:pPr>
        <w:keepNext w:val="0"/>
        <w:keepLines w:val="0"/>
        <w:pageBreakBefore w:val="0"/>
        <w:widowControl w:val="0"/>
        <w:kinsoku/>
        <w:wordWrap/>
        <w:overflowPunct/>
        <w:topLinePunct w:val="0"/>
        <w:autoSpaceDE/>
        <w:autoSpaceDN/>
        <w:bidi w:val="0"/>
        <w:adjustRightInd/>
        <w:snapToGrid/>
        <w:spacing w:line="520" w:lineRule="exact"/>
        <w:ind w:firstLine="643" w:firstLineChars="200"/>
        <w:jc w:val="both"/>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b/>
          <w:color w:val="auto"/>
          <w:sz w:val="32"/>
          <w:szCs w:val="32"/>
        </w:rPr>
        <w:t>应用语言学研究：</w:t>
      </w:r>
      <w:r>
        <w:rPr>
          <w:rFonts w:hint="eastAsia" w:ascii="方正仿宋_GB2312" w:hAnsi="方正仿宋_GB2312" w:eastAsia="方正仿宋_GB2312" w:cs="方正仿宋_GB2312"/>
          <w:color w:val="auto"/>
          <w:sz w:val="32"/>
          <w:szCs w:val="32"/>
        </w:rPr>
        <w:t>依托学校特色优势学科，开展英语教学法和基础教育研究；结合当下国家政策和浙江省基础教育特点，开展“一带一路”国家语言文化、语言政策、区域基础教育的研究。研究重点是基础英语教育。</w:t>
      </w:r>
    </w:p>
    <w:p>
      <w:pPr>
        <w:keepNext w:val="0"/>
        <w:keepLines w:val="0"/>
        <w:pageBreakBefore w:val="0"/>
        <w:widowControl w:val="0"/>
        <w:kinsoku/>
        <w:wordWrap/>
        <w:overflowPunct/>
        <w:topLinePunct w:val="0"/>
        <w:autoSpaceDE/>
        <w:autoSpaceDN/>
        <w:bidi w:val="0"/>
        <w:adjustRightInd/>
        <w:snapToGrid/>
        <w:spacing w:line="520" w:lineRule="exact"/>
        <w:ind w:firstLine="643" w:firstLineChars="200"/>
        <w:jc w:val="both"/>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b/>
          <w:color w:val="auto"/>
          <w:sz w:val="32"/>
          <w:szCs w:val="32"/>
        </w:rPr>
        <w:t>外国文学研究：</w:t>
      </w:r>
      <w:r>
        <w:rPr>
          <w:rFonts w:hint="eastAsia" w:ascii="方正仿宋_GB2312" w:hAnsi="方正仿宋_GB2312" w:eastAsia="方正仿宋_GB2312" w:cs="方正仿宋_GB2312"/>
          <w:color w:val="auto"/>
          <w:sz w:val="32"/>
          <w:szCs w:val="32"/>
        </w:rPr>
        <w:t>主要研究领域为生态美学及比较文学研究相关比较研究，英美、日本文学研究，英美诗歌研究。研究重点是比较文学。</w:t>
      </w:r>
    </w:p>
    <w:p>
      <w:pPr>
        <w:keepNext w:val="0"/>
        <w:keepLines w:val="0"/>
        <w:pageBreakBefore w:val="0"/>
        <w:widowControl w:val="0"/>
        <w:kinsoku/>
        <w:wordWrap/>
        <w:overflowPunct/>
        <w:topLinePunct w:val="0"/>
        <w:autoSpaceDE/>
        <w:autoSpaceDN/>
        <w:bidi w:val="0"/>
        <w:adjustRightInd/>
        <w:snapToGrid/>
        <w:spacing w:line="520" w:lineRule="exact"/>
        <w:ind w:firstLine="643" w:firstLineChars="200"/>
        <w:jc w:val="both"/>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b/>
          <w:color w:val="auto"/>
          <w:sz w:val="32"/>
          <w:szCs w:val="32"/>
          <w:lang w:eastAsia="zh-CN"/>
        </w:rPr>
        <w:t>英语</w:t>
      </w:r>
      <w:r>
        <w:rPr>
          <w:rFonts w:hint="eastAsia" w:ascii="方正仿宋_GB2312" w:hAnsi="方正仿宋_GB2312" w:eastAsia="方正仿宋_GB2312" w:cs="方正仿宋_GB2312"/>
          <w:b/>
          <w:color w:val="auto"/>
          <w:sz w:val="32"/>
          <w:szCs w:val="32"/>
        </w:rPr>
        <w:t>教学研究：</w:t>
      </w:r>
      <w:r>
        <w:rPr>
          <w:rFonts w:hint="eastAsia" w:ascii="方正仿宋_GB2312" w:hAnsi="方正仿宋_GB2312" w:eastAsia="方正仿宋_GB2312" w:cs="方正仿宋_GB2312"/>
          <w:color w:val="auto"/>
          <w:sz w:val="32"/>
          <w:szCs w:val="32"/>
        </w:rPr>
        <w:t>结合教学实践，</w:t>
      </w:r>
      <w:r>
        <w:rPr>
          <w:rFonts w:hint="eastAsia" w:ascii="方正仿宋_GB2312" w:hAnsi="方正仿宋_GB2312" w:eastAsia="方正仿宋_GB2312" w:cs="方正仿宋_GB2312"/>
          <w:bCs/>
          <w:color w:val="auto"/>
          <w:kern w:val="0"/>
          <w:sz w:val="32"/>
          <w:szCs w:val="32"/>
        </w:rPr>
        <w:t>开展课程（实践课程、第二课堂、课程思政、线上课程、合作课程、交叉课程等）、教师素质、教材、考试等方面的全方位研究。</w:t>
      </w:r>
      <w:r>
        <w:rPr>
          <w:rFonts w:hint="eastAsia" w:ascii="方正仿宋_GB2312" w:hAnsi="方正仿宋_GB2312" w:eastAsia="方正仿宋_GB2312" w:cs="方正仿宋_GB2312"/>
          <w:color w:val="auto"/>
          <w:sz w:val="32"/>
          <w:szCs w:val="32"/>
        </w:rPr>
        <w:t xml:space="preserve">研究重点是二语习得、语言测试以及外语教学过程。  </w:t>
      </w:r>
    </w:p>
    <w:p>
      <w:pPr>
        <w:keepNext w:val="0"/>
        <w:keepLines w:val="0"/>
        <w:pageBreakBefore w:val="0"/>
        <w:widowControl w:val="0"/>
        <w:numPr>
          <w:ilvl w:val="0"/>
          <w:numId w:val="2"/>
        </w:numPr>
        <w:kinsoku/>
        <w:wordWrap/>
        <w:overflowPunct/>
        <w:topLinePunct w:val="0"/>
        <w:autoSpaceDE/>
        <w:autoSpaceDN/>
        <w:bidi w:val="0"/>
        <w:adjustRightInd/>
        <w:snapToGrid/>
        <w:spacing w:line="520" w:lineRule="exact"/>
        <w:ind w:firstLine="643" w:firstLineChars="200"/>
        <w:jc w:val="both"/>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b/>
          <w:color w:val="auto"/>
          <w:sz w:val="32"/>
          <w:szCs w:val="32"/>
        </w:rPr>
        <w:t>强化科研团队建设。</w:t>
      </w:r>
      <w:r>
        <w:rPr>
          <w:rFonts w:hint="eastAsia" w:ascii="方正仿宋_GB2312" w:hAnsi="方正仿宋_GB2312" w:eastAsia="方正仿宋_GB2312" w:cs="方正仿宋_GB2312"/>
          <w:color w:val="auto"/>
          <w:sz w:val="32"/>
          <w:szCs w:val="32"/>
        </w:rPr>
        <w:t>按照上述四个研究方向，加强四个科研团队建设，为团队成员提供更为宽松的教学和科研环境，对有潜力的科研人员加强培养力度，对重点科研成果、项目等加大培育力度。此外，本着“不为所有，但为所用”原则，聘用外语专家作兼职、客座教授，指导、带动科研团队。鼓励教师积极参与校外合作项目。</w:t>
      </w:r>
    </w:p>
    <w:p>
      <w:pPr>
        <w:keepNext w:val="0"/>
        <w:keepLines w:val="0"/>
        <w:pageBreakBefore w:val="0"/>
        <w:widowControl w:val="0"/>
        <w:numPr>
          <w:ilvl w:val="0"/>
          <w:numId w:val="2"/>
        </w:numPr>
        <w:kinsoku/>
        <w:wordWrap/>
        <w:overflowPunct/>
        <w:topLinePunct w:val="0"/>
        <w:autoSpaceDE/>
        <w:autoSpaceDN/>
        <w:bidi w:val="0"/>
        <w:adjustRightInd/>
        <w:snapToGrid/>
        <w:spacing w:line="520" w:lineRule="exact"/>
        <w:ind w:firstLine="643" w:firstLineChars="200"/>
        <w:jc w:val="both"/>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b/>
          <w:bCs/>
          <w:color w:val="auto"/>
          <w:sz w:val="32"/>
          <w:szCs w:val="32"/>
          <w:lang w:val="en-US" w:eastAsia="zh-CN"/>
        </w:rPr>
        <w:t>加大学术交流力度。</w:t>
      </w:r>
      <w:r>
        <w:rPr>
          <w:rFonts w:hint="eastAsia" w:ascii="方正仿宋_GB2312" w:hAnsi="方正仿宋_GB2312" w:eastAsia="方正仿宋_GB2312" w:cs="方正仿宋_GB2312"/>
          <w:bCs/>
          <w:color w:val="auto"/>
          <w:kern w:val="0"/>
          <w:sz w:val="32"/>
          <w:szCs w:val="32"/>
        </w:rPr>
        <w:t>每学期邀请外语名家2-3人来校开展学术交流，派出15-20名教师参加国内外高水平学术研讨会、学术及教学法培训；学院内部定期举办教授论坛、博士论坛、学术会议汇报会等，带动青年教师科研。</w:t>
      </w:r>
    </w:p>
    <w:p>
      <w:pPr>
        <w:keepNext w:val="0"/>
        <w:keepLines w:val="0"/>
        <w:pageBreakBefore w:val="0"/>
        <w:widowControl w:val="0"/>
        <w:numPr>
          <w:ilvl w:val="0"/>
          <w:numId w:val="2"/>
        </w:numPr>
        <w:kinsoku/>
        <w:wordWrap/>
        <w:overflowPunct/>
        <w:topLinePunct w:val="0"/>
        <w:autoSpaceDE/>
        <w:autoSpaceDN/>
        <w:bidi w:val="0"/>
        <w:adjustRightInd/>
        <w:snapToGrid/>
        <w:spacing w:line="520" w:lineRule="exact"/>
        <w:ind w:firstLine="643" w:firstLineChars="200"/>
        <w:jc w:val="both"/>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b/>
          <w:bCs/>
          <w:color w:val="auto"/>
          <w:kern w:val="0"/>
          <w:sz w:val="32"/>
          <w:szCs w:val="32"/>
        </w:rPr>
        <w:t>加强</w:t>
      </w:r>
      <w:r>
        <w:rPr>
          <w:rFonts w:hint="eastAsia" w:ascii="方正仿宋_GB2312" w:hAnsi="方正仿宋_GB2312" w:eastAsia="方正仿宋_GB2312" w:cs="方正仿宋_GB2312"/>
          <w:b/>
          <w:bCs/>
          <w:color w:val="auto"/>
          <w:kern w:val="0"/>
          <w:sz w:val="32"/>
          <w:szCs w:val="32"/>
          <w:lang w:eastAsia="zh-CN"/>
        </w:rPr>
        <w:t>学科</w:t>
      </w:r>
      <w:r>
        <w:rPr>
          <w:rFonts w:hint="eastAsia" w:ascii="方正仿宋_GB2312" w:hAnsi="方正仿宋_GB2312" w:eastAsia="方正仿宋_GB2312" w:cs="方正仿宋_GB2312"/>
          <w:b/>
          <w:bCs/>
          <w:color w:val="auto"/>
          <w:kern w:val="0"/>
          <w:sz w:val="32"/>
          <w:szCs w:val="32"/>
        </w:rPr>
        <w:t>团队管理。</w:t>
      </w:r>
      <w:r>
        <w:rPr>
          <w:rFonts w:hint="eastAsia" w:ascii="方正仿宋_GB2312" w:hAnsi="方正仿宋_GB2312" w:eastAsia="方正仿宋_GB2312" w:cs="方正仿宋_GB2312"/>
          <w:bCs/>
          <w:color w:val="auto"/>
          <w:kern w:val="0"/>
          <w:sz w:val="32"/>
          <w:szCs w:val="32"/>
        </w:rPr>
        <w:t>明确每个团队指标和任务，给予资金匹配。要求每个团队定期举办专题学术沙龙、参加相关学术交流活动、进行项目、论文、著作</w:t>
      </w:r>
      <w:r>
        <w:rPr>
          <w:rFonts w:hint="eastAsia" w:ascii="方正仿宋_GB2312" w:hAnsi="方正仿宋_GB2312" w:eastAsia="方正仿宋_GB2312" w:cs="方正仿宋_GB2312"/>
          <w:bCs/>
          <w:color w:val="auto"/>
          <w:kern w:val="0"/>
          <w:sz w:val="32"/>
          <w:szCs w:val="32"/>
          <w:lang w:eastAsia="zh-CN"/>
        </w:rPr>
        <w:t>的</w:t>
      </w:r>
      <w:r>
        <w:rPr>
          <w:rFonts w:hint="eastAsia" w:ascii="方正仿宋_GB2312" w:hAnsi="方正仿宋_GB2312" w:eastAsia="方正仿宋_GB2312" w:cs="方正仿宋_GB2312"/>
          <w:bCs/>
          <w:color w:val="auto"/>
          <w:kern w:val="0"/>
          <w:sz w:val="32"/>
          <w:szCs w:val="32"/>
        </w:rPr>
        <w:t>论证、审查</w:t>
      </w:r>
      <w:r>
        <w:rPr>
          <w:rFonts w:hint="eastAsia" w:ascii="方正仿宋_GB2312" w:hAnsi="方正仿宋_GB2312" w:eastAsia="方正仿宋_GB2312" w:cs="方正仿宋_GB2312"/>
          <w:bCs/>
          <w:color w:val="auto"/>
          <w:kern w:val="0"/>
          <w:sz w:val="32"/>
          <w:szCs w:val="32"/>
          <w:lang w:eastAsia="zh-CN"/>
        </w:rPr>
        <w:t>和</w:t>
      </w:r>
      <w:r>
        <w:rPr>
          <w:rFonts w:hint="eastAsia" w:ascii="方正仿宋_GB2312" w:hAnsi="方正仿宋_GB2312" w:eastAsia="方正仿宋_GB2312" w:cs="方正仿宋_GB2312"/>
          <w:bCs/>
          <w:color w:val="auto"/>
          <w:kern w:val="0"/>
          <w:sz w:val="32"/>
          <w:szCs w:val="32"/>
        </w:rPr>
        <w:t>指导。</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3" w:firstLineChars="200"/>
        <w:jc w:val="both"/>
        <w:textAlignment w:val="auto"/>
        <w:rPr>
          <w:rFonts w:hint="eastAsia" w:ascii="楷体" w:hAnsi="楷体" w:eastAsia="楷体" w:cs="楷体"/>
          <w:b/>
          <w:color w:val="auto"/>
          <w:sz w:val="32"/>
          <w:szCs w:val="32"/>
        </w:rPr>
      </w:pPr>
      <w:r>
        <w:rPr>
          <w:rFonts w:hint="eastAsia" w:ascii="楷体" w:hAnsi="楷体" w:eastAsia="楷体" w:cs="楷体"/>
          <w:b/>
          <w:color w:val="auto"/>
          <w:sz w:val="32"/>
          <w:szCs w:val="32"/>
        </w:rPr>
        <w:t>（二）本科教学</w:t>
      </w:r>
    </w:p>
    <w:p>
      <w:pPr>
        <w:keepNext w:val="0"/>
        <w:keepLines w:val="0"/>
        <w:pageBreakBefore w:val="0"/>
        <w:widowControl w:val="0"/>
        <w:tabs>
          <w:tab w:val="left" w:pos="6150"/>
        </w:tabs>
        <w:kinsoku/>
        <w:wordWrap/>
        <w:overflowPunct/>
        <w:topLinePunct w:val="0"/>
        <w:autoSpaceDE/>
        <w:autoSpaceDN/>
        <w:bidi w:val="0"/>
        <w:adjustRightInd w:val="0"/>
        <w:snapToGrid w:val="0"/>
        <w:spacing w:line="520" w:lineRule="exact"/>
        <w:ind w:firstLine="640" w:firstLineChars="200"/>
        <w:jc w:val="both"/>
        <w:textAlignment w:val="auto"/>
        <w:rPr>
          <w:rFonts w:hint="eastAsia" w:ascii="方正仿宋_GB2312" w:hAnsi="方正仿宋_GB2312" w:eastAsia="方正仿宋_GB2312" w:cs="方正仿宋_GB2312"/>
          <w:b/>
          <w:bCs/>
          <w:color w:val="auto"/>
          <w:sz w:val="32"/>
          <w:szCs w:val="32"/>
        </w:rPr>
      </w:pPr>
      <w:r>
        <w:rPr>
          <w:rFonts w:hint="eastAsia" w:ascii="方正仿宋_GB2312" w:hAnsi="方正仿宋_GB2312" w:eastAsia="方正仿宋_GB2312" w:cs="方正仿宋_GB2312"/>
          <w:color w:val="auto"/>
          <w:sz w:val="32"/>
          <w:szCs w:val="32"/>
        </w:rPr>
        <w:t>本科教学是中心。要以培养卓越应用型人才为目标，围绕立德树人根本任务，大力推进“校地共育”人才培养模式改革，专业建设突出特色发展，人才培养突出学生自主发展，实践教学突出协同培养，能力养成突出创新创业。</w:t>
      </w:r>
    </w:p>
    <w:p>
      <w:pPr>
        <w:keepNext w:val="0"/>
        <w:keepLines w:val="0"/>
        <w:pageBreakBefore w:val="0"/>
        <w:widowControl w:val="0"/>
        <w:numPr>
          <w:ilvl w:val="0"/>
          <w:numId w:val="3"/>
        </w:numPr>
        <w:tabs>
          <w:tab w:val="left" w:pos="6150"/>
        </w:tabs>
        <w:kinsoku/>
        <w:wordWrap/>
        <w:overflowPunct/>
        <w:topLinePunct w:val="0"/>
        <w:autoSpaceDE/>
        <w:autoSpaceDN/>
        <w:bidi w:val="0"/>
        <w:adjustRightInd w:val="0"/>
        <w:snapToGrid w:val="0"/>
        <w:spacing w:line="520" w:lineRule="exact"/>
        <w:ind w:firstLine="643" w:firstLineChars="200"/>
        <w:jc w:val="both"/>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b/>
          <w:color w:val="auto"/>
          <w:sz w:val="32"/>
          <w:szCs w:val="32"/>
        </w:rPr>
        <w:t>提高生源质量。</w:t>
      </w:r>
      <w:r>
        <w:rPr>
          <w:rFonts w:hint="eastAsia" w:ascii="方正仿宋_GB2312" w:hAnsi="方正仿宋_GB2312" w:eastAsia="方正仿宋_GB2312" w:cs="方正仿宋_GB2312"/>
          <w:color w:val="auto"/>
          <w:sz w:val="32"/>
          <w:szCs w:val="32"/>
        </w:rPr>
        <w:t>适当增加专业规模，发挥英语专业的集聚效应；增加日语专业招生数量，完善招生与转专业办法，加大相关政策宣传，最大程度吸引优质生源。</w:t>
      </w:r>
    </w:p>
    <w:p>
      <w:pPr>
        <w:keepNext w:val="0"/>
        <w:keepLines w:val="0"/>
        <w:pageBreakBefore w:val="0"/>
        <w:widowControl w:val="0"/>
        <w:numPr>
          <w:ilvl w:val="0"/>
          <w:numId w:val="3"/>
        </w:numPr>
        <w:tabs>
          <w:tab w:val="left" w:pos="6150"/>
        </w:tabs>
        <w:kinsoku/>
        <w:wordWrap/>
        <w:overflowPunct/>
        <w:topLinePunct w:val="0"/>
        <w:autoSpaceDE/>
        <w:autoSpaceDN/>
        <w:bidi w:val="0"/>
        <w:adjustRightInd w:val="0"/>
        <w:snapToGrid w:val="0"/>
        <w:spacing w:line="520" w:lineRule="exact"/>
        <w:ind w:firstLine="643" w:firstLineChars="200"/>
        <w:jc w:val="both"/>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b/>
          <w:color w:val="auto"/>
          <w:sz w:val="32"/>
          <w:szCs w:val="32"/>
        </w:rPr>
        <w:t>加强专业建设。</w:t>
      </w:r>
      <w:r>
        <w:rPr>
          <w:rFonts w:hint="eastAsia" w:ascii="方正仿宋_GB2312" w:hAnsi="方正仿宋_GB2312" w:eastAsia="方正仿宋_GB2312" w:cs="方正仿宋_GB2312"/>
          <w:color w:val="auto"/>
          <w:sz w:val="32"/>
          <w:szCs w:val="32"/>
        </w:rPr>
        <w:t>按照</w:t>
      </w:r>
      <w:r>
        <w:rPr>
          <w:rFonts w:hint="eastAsia" w:ascii="方正仿宋_GB2312" w:hAnsi="方正仿宋_GB2312" w:eastAsia="方正仿宋_GB2312" w:cs="方正仿宋_GB2312"/>
          <w:color w:val="auto"/>
          <w:sz w:val="32"/>
          <w:szCs w:val="32"/>
          <w:lang w:eastAsia="zh-CN"/>
        </w:rPr>
        <w:t>“</w:t>
      </w:r>
      <w:r>
        <w:rPr>
          <w:rFonts w:hint="eastAsia" w:ascii="方正仿宋_GB2312" w:hAnsi="方正仿宋_GB2312" w:eastAsia="方正仿宋_GB2312" w:cs="方正仿宋_GB2312"/>
          <w:color w:val="auto"/>
          <w:sz w:val="32"/>
          <w:szCs w:val="32"/>
        </w:rPr>
        <w:t>以本为本</w:t>
      </w:r>
      <w:r>
        <w:rPr>
          <w:rFonts w:hint="eastAsia" w:ascii="方正仿宋_GB2312" w:hAnsi="方正仿宋_GB2312" w:eastAsia="方正仿宋_GB2312" w:cs="方正仿宋_GB2312"/>
          <w:color w:val="auto"/>
          <w:sz w:val="32"/>
          <w:szCs w:val="32"/>
          <w:lang w:eastAsia="zh-CN"/>
        </w:rPr>
        <w:t>”</w:t>
      </w:r>
      <w:r>
        <w:rPr>
          <w:rFonts w:hint="eastAsia" w:ascii="方正仿宋_GB2312" w:hAnsi="方正仿宋_GB2312" w:eastAsia="方正仿宋_GB2312" w:cs="方正仿宋_GB2312"/>
          <w:color w:val="auto"/>
          <w:sz w:val="32"/>
          <w:szCs w:val="32"/>
        </w:rPr>
        <w:t>、</w:t>
      </w:r>
      <w:r>
        <w:rPr>
          <w:rFonts w:hint="eastAsia" w:ascii="方正仿宋_GB2312" w:hAnsi="方正仿宋_GB2312" w:eastAsia="方正仿宋_GB2312" w:cs="方正仿宋_GB2312"/>
          <w:color w:val="auto"/>
          <w:sz w:val="32"/>
          <w:szCs w:val="32"/>
          <w:lang w:eastAsia="zh-CN"/>
        </w:rPr>
        <w:t>“</w:t>
      </w:r>
      <w:r>
        <w:rPr>
          <w:rFonts w:hint="eastAsia" w:ascii="方正仿宋_GB2312" w:hAnsi="方正仿宋_GB2312" w:eastAsia="方正仿宋_GB2312" w:cs="方正仿宋_GB2312"/>
          <w:color w:val="auto"/>
          <w:sz w:val="32"/>
          <w:szCs w:val="32"/>
        </w:rPr>
        <w:t>四个回归</w:t>
      </w:r>
      <w:r>
        <w:rPr>
          <w:rFonts w:hint="eastAsia" w:ascii="方正仿宋_GB2312" w:hAnsi="方正仿宋_GB2312" w:eastAsia="方正仿宋_GB2312" w:cs="方正仿宋_GB2312"/>
          <w:color w:val="auto"/>
          <w:sz w:val="32"/>
          <w:szCs w:val="32"/>
          <w:lang w:eastAsia="zh-CN"/>
        </w:rPr>
        <w:t>”</w:t>
      </w:r>
      <w:r>
        <w:rPr>
          <w:rFonts w:hint="eastAsia" w:ascii="方正仿宋_GB2312" w:hAnsi="方正仿宋_GB2312" w:eastAsia="方正仿宋_GB2312" w:cs="方正仿宋_GB2312"/>
          <w:color w:val="auto"/>
          <w:sz w:val="32"/>
          <w:szCs w:val="32"/>
        </w:rPr>
        <w:t>的建设思路，把英语专业做优、把日语、俄语专业做强，推动专业建设与学科建设良性互动发展。</w:t>
      </w:r>
    </w:p>
    <w:p>
      <w:pPr>
        <w:keepNext w:val="0"/>
        <w:keepLines w:val="0"/>
        <w:pageBreakBefore w:val="0"/>
        <w:widowControl w:val="0"/>
        <w:numPr>
          <w:ilvl w:val="0"/>
          <w:numId w:val="3"/>
        </w:numPr>
        <w:tabs>
          <w:tab w:val="left" w:pos="6150"/>
        </w:tabs>
        <w:kinsoku/>
        <w:wordWrap/>
        <w:overflowPunct/>
        <w:topLinePunct w:val="0"/>
        <w:autoSpaceDE/>
        <w:autoSpaceDN/>
        <w:bidi w:val="0"/>
        <w:adjustRightInd w:val="0"/>
        <w:snapToGrid w:val="0"/>
        <w:spacing w:line="520" w:lineRule="exact"/>
        <w:ind w:firstLine="643" w:firstLineChars="200"/>
        <w:jc w:val="both"/>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b/>
          <w:color w:val="auto"/>
          <w:sz w:val="32"/>
          <w:szCs w:val="32"/>
        </w:rPr>
        <w:t>优化课程体系。</w:t>
      </w:r>
      <w:r>
        <w:rPr>
          <w:rFonts w:hint="eastAsia" w:ascii="方正仿宋_GB2312" w:hAnsi="方正仿宋_GB2312" w:eastAsia="方正仿宋_GB2312" w:cs="方正仿宋_GB2312"/>
          <w:color w:val="auto"/>
          <w:sz w:val="32"/>
          <w:szCs w:val="32"/>
        </w:rPr>
        <w:t>以提高质量为核心，完善课程体系；推动教学方式方法变革，促进信息技术与教育教学的深度融合，打造并推广一批精品在线课程。</w:t>
      </w:r>
    </w:p>
    <w:p>
      <w:pPr>
        <w:keepNext w:val="0"/>
        <w:keepLines w:val="0"/>
        <w:pageBreakBefore w:val="0"/>
        <w:widowControl w:val="0"/>
        <w:numPr>
          <w:ilvl w:val="0"/>
          <w:numId w:val="3"/>
        </w:numPr>
        <w:tabs>
          <w:tab w:val="left" w:pos="6150"/>
        </w:tabs>
        <w:kinsoku/>
        <w:wordWrap/>
        <w:overflowPunct/>
        <w:topLinePunct w:val="0"/>
        <w:autoSpaceDE/>
        <w:autoSpaceDN/>
        <w:bidi w:val="0"/>
        <w:adjustRightInd w:val="0"/>
        <w:snapToGrid w:val="0"/>
        <w:spacing w:line="520" w:lineRule="exact"/>
        <w:ind w:firstLine="643" w:firstLineChars="200"/>
        <w:jc w:val="both"/>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b/>
          <w:color w:val="auto"/>
          <w:sz w:val="32"/>
          <w:szCs w:val="32"/>
        </w:rPr>
        <w:t>创新人才培养模式。</w:t>
      </w:r>
      <w:r>
        <w:rPr>
          <w:rFonts w:hint="eastAsia" w:ascii="方正仿宋_GB2312" w:hAnsi="方正仿宋_GB2312" w:eastAsia="方正仿宋_GB2312" w:cs="方正仿宋_GB2312"/>
          <w:color w:val="auto"/>
          <w:sz w:val="32"/>
          <w:szCs w:val="32"/>
        </w:rPr>
        <w:t>适应“互联网+”技术发展的新需求，构建一二三四课堂、线上线下教学紧密结合的育人平台，促进学生学习与发展相统一。探索多元化、个性化成才路径；探索实践育人新机制，构建新型实践教学体系；加强教育教学改革研究，注重总结实践经验，培育标志性优秀教学成果。</w:t>
      </w:r>
    </w:p>
    <w:p>
      <w:pPr>
        <w:keepNext w:val="0"/>
        <w:keepLines w:val="0"/>
        <w:pageBreakBefore w:val="0"/>
        <w:widowControl w:val="0"/>
        <w:numPr>
          <w:ilvl w:val="0"/>
          <w:numId w:val="3"/>
        </w:numPr>
        <w:tabs>
          <w:tab w:val="left" w:pos="6150"/>
        </w:tabs>
        <w:kinsoku/>
        <w:wordWrap/>
        <w:overflowPunct/>
        <w:topLinePunct w:val="0"/>
        <w:autoSpaceDE/>
        <w:autoSpaceDN/>
        <w:bidi w:val="0"/>
        <w:adjustRightInd w:val="0"/>
        <w:snapToGrid w:val="0"/>
        <w:spacing w:line="520" w:lineRule="exact"/>
        <w:ind w:firstLine="643" w:firstLineChars="200"/>
        <w:jc w:val="both"/>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b/>
          <w:color w:val="auto"/>
          <w:sz w:val="32"/>
          <w:szCs w:val="32"/>
        </w:rPr>
        <w:t>强化创新创业教育。</w:t>
      </w:r>
      <w:r>
        <w:rPr>
          <w:rFonts w:hint="eastAsia" w:ascii="方正仿宋_GB2312" w:hAnsi="方正仿宋_GB2312" w:eastAsia="方正仿宋_GB2312" w:cs="方正仿宋_GB2312"/>
          <w:color w:val="auto"/>
          <w:sz w:val="32"/>
          <w:szCs w:val="32"/>
        </w:rPr>
        <w:t>将创新创业教育融入人才培养全过程，以学科竞赛、科研立项、创业项目孵化等为载体，发挥优秀校友资源和校外创新创业基地作用，着力培养学生创新精神、创业意识和创业能力。</w:t>
      </w:r>
    </w:p>
    <w:p>
      <w:pPr>
        <w:keepNext w:val="0"/>
        <w:keepLines w:val="0"/>
        <w:pageBreakBefore w:val="0"/>
        <w:widowControl w:val="0"/>
        <w:numPr>
          <w:ilvl w:val="0"/>
          <w:numId w:val="3"/>
        </w:numPr>
        <w:tabs>
          <w:tab w:val="left" w:pos="6150"/>
        </w:tabs>
        <w:kinsoku/>
        <w:wordWrap/>
        <w:overflowPunct/>
        <w:topLinePunct w:val="0"/>
        <w:autoSpaceDE/>
        <w:autoSpaceDN/>
        <w:bidi w:val="0"/>
        <w:adjustRightInd w:val="0"/>
        <w:snapToGrid w:val="0"/>
        <w:spacing w:line="520" w:lineRule="exact"/>
        <w:ind w:firstLine="643" w:firstLineChars="200"/>
        <w:jc w:val="both"/>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b/>
          <w:color w:val="auto"/>
          <w:sz w:val="32"/>
          <w:szCs w:val="32"/>
        </w:rPr>
        <w:t>完善质量保障体系。</w:t>
      </w:r>
      <w:r>
        <w:rPr>
          <w:rFonts w:hint="eastAsia" w:ascii="方正仿宋_GB2312" w:hAnsi="方正仿宋_GB2312" w:eastAsia="方正仿宋_GB2312" w:cs="方正仿宋_GB2312"/>
          <w:color w:val="auto"/>
          <w:sz w:val="32"/>
          <w:szCs w:val="32"/>
        </w:rPr>
        <w:t>建立完善学院、系、教师三级教育教学质量管理体系，构建多方参与、内部监测和外部评价相结合的，教学质量动态监测评价体系。</w:t>
      </w:r>
    </w:p>
    <w:p>
      <w:pPr>
        <w:keepNext w:val="0"/>
        <w:keepLines w:val="0"/>
        <w:pageBreakBefore w:val="0"/>
        <w:widowControl w:val="0"/>
        <w:numPr>
          <w:ilvl w:val="0"/>
          <w:numId w:val="3"/>
        </w:numPr>
        <w:tabs>
          <w:tab w:val="left" w:pos="6150"/>
        </w:tabs>
        <w:kinsoku/>
        <w:wordWrap/>
        <w:overflowPunct/>
        <w:topLinePunct w:val="0"/>
        <w:autoSpaceDE/>
        <w:autoSpaceDN/>
        <w:bidi w:val="0"/>
        <w:adjustRightInd w:val="0"/>
        <w:snapToGrid w:val="0"/>
        <w:spacing w:line="520" w:lineRule="exact"/>
        <w:ind w:firstLine="643" w:firstLineChars="200"/>
        <w:jc w:val="both"/>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b/>
          <w:color w:val="auto"/>
          <w:sz w:val="32"/>
          <w:szCs w:val="32"/>
        </w:rPr>
        <w:t>打造师范教育品牌。</w:t>
      </w:r>
      <w:r>
        <w:rPr>
          <w:rFonts w:hint="eastAsia" w:ascii="方正仿宋_GB2312" w:hAnsi="方正仿宋_GB2312" w:eastAsia="方正仿宋_GB2312" w:cs="方正仿宋_GB2312"/>
          <w:color w:val="auto"/>
          <w:sz w:val="32"/>
          <w:szCs w:val="32"/>
        </w:rPr>
        <w:t>加强教师教育研究与实践。加强教育基本理论与教师教育实践研究；加强学科课程教学论教师队伍建设，推进教师教育课程体系改革。全面提升师范生培养质量。以基础教育发展需求为导向，完善人才培养方案，强化师范生养成教育和实践能力培养。服务基础教育。以教</w:t>
      </w:r>
      <w:r>
        <w:rPr>
          <w:rFonts w:hint="eastAsia" w:ascii="方正仿宋_GB2312" w:hAnsi="方正仿宋_GB2312" w:eastAsia="方正仿宋_GB2312" w:cs="方正仿宋_GB2312"/>
          <w:color w:val="auto"/>
          <w:sz w:val="32"/>
          <w:szCs w:val="32"/>
          <w:lang w:eastAsia="zh-CN"/>
        </w:rPr>
        <w:t>师</w:t>
      </w:r>
      <w:r>
        <w:rPr>
          <w:rFonts w:hint="eastAsia" w:ascii="方正仿宋_GB2312" w:hAnsi="方正仿宋_GB2312" w:eastAsia="方正仿宋_GB2312" w:cs="方正仿宋_GB2312"/>
          <w:color w:val="auto"/>
          <w:sz w:val="32"/>
          <w:szCs w:val="32"/>
        </w:rPr>
        <w:t>发展学校为抓手，发挥教师教育资源优势，办好外语类相关教学培训项目，为基础教育服务。</w:t>
      </w:r>
    </w:p>
    <w:p>
      <w:pPr>
        <w:keepNext w:val="0"/>
        <w:keepLines w:val="0"/>
        <w:pageBreakBefore w:val="0"/>
        <w:widowControl w:val="0"/>
        <w:numPr>
          <w:ilvl w:val="0"/>
          <w:numId w:val="3"/>
        </w:numPr>
        <w:tabs>
          <w:tab w:val="left" w:pos="6150"/>
        </w:tabs>
        <w:kinsoku/>
        <w:wordWrap/>
        <w:overflowPunct/>
        <w:topLinePunct w:val="0"/>
        <w:autoSpaceDE/>
        <w:autoSpaceDN/>
        <w:bidi w:val="0"/>
        <w:adjustRightInd w:val="0"/>
        <w:snapToGrid w:val="0"/>
        <w:spacing w:line="520" w:lineRule="exact"/>
        <w:ind w:firstLine="643" w:firstLineChars="200"/>
        <w:jc w:val="both"/>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b/>
          <w:bCs/>
          <w:color w:val="auto"/>
          <w:sz w:val="32"/>
          <w:szCs w:val="32"/>
          <w:lang w:val="en-US" w:eastAsia="zh-CN"/>
        </w:rPr>
        <w:t>加强实验室建设。</w:t>
      </w:r>
      <w:r>
        <w:rPr>
          <w:rFonts w:hint="eastAsia" w:ascii="方正仿宋_GB2312" w:hAnsi="方正仿宋_GB2312" w:eastAsia="方正仿宋_GB2312" w:cs="方正仿宋_GB2312"/>
          <w:color w:val="auto"/>
          <w:sz w:val="32"/>
          <w:szCs w:val="32"/>
        </w:rPr>
        <w:t>以管理体制改革为手段，整合现有资源，完善实验室网站和信息平台，实现实验资源开放、共享，建立节约、高效、运作有序的实验室。以实验教学内容改革为核心，提高实验教学质量，培养学生的实践能力、创新能力。以教学为基础，兼顾科研及应用开发，为地方社会经济建设服务。以满足专业建设、教学评估以及实验室评估为目标，按照专业建设标准及评估指标体系进行建设。争取学校资金，</w:t>
      </w:r>
      <w:r>
        <w:rPr>
          <w:rFonts w:hint="eastAsia" w:ascii="方正仿宋_GB2312" w:hAnsi="方正仿宋_GB2312" w:eastAsia="方正仿宋_GB2312" w:cs="方正仿宋_GB2312"/>
          <w:color w:val="auto"/>
          <w:sz w:val="32"/>
          <w:szCs w:val="32"/>
          <w:lang w:eastAsia="zh-CN"/>
        </w:rPr>
        <w:t>扩建校园网语言学科平台</w:t>
      </w:r>
      <w:r>
        <w:rPr>
          <w:rFonts w:hint="eastAsia" w:ascii="方正仿宋_GB2312" w:hAnsi="方正仿宋_GB2312" w:eastAsia="方正仿宋_GB2312" w:cs="方正仿宋_GB2312"/>
          <w:color w:val="auto"/>
          <w:sz w:val="32"/>
          <w:szCs w:val="32"/>
        </w:rPr>
        <w:t>，创建智慧语言一体化实训平台。全面提升实验室建设和管理层次和水平，更好地发挥省级实验教学示范中心辐射作用</w:t>
      </w:r>
      <w:r>
        <w:rPr>
          <w:rFonts w:hint="eastAsia" w:ascii="方正仿宋_GB2312" w:hAnsi="方正仿宋_GB2312" w:eastAsia="方正仿宋_GB2312" w:cs="方正仿宋_GB2312"/>
          <w:color w:val="auto"/>
          <w:sz w:val="32"/>
          <w:szCs w:val="32"/>
          <w:lang w:eastAsia="zh-CN"/>
        </w:rPr>
        <w:t>，获</w:t>
      </w:r>
      <w:r>
        <w:rPr>
          <w:rFonts w:hint="eastAsia" w:ascii="方正仿宋_GB2312" w:hAnsi="方正仿宋_GB2312" w:eastAsia="方正仿宋_GB2312" w:cs="方正仿宋_GB2312"/>
          <w:color w:val="auto"/>
          <w:sz w:val="32"/>
          <w:szCs w:val="32"/>
        </w:rPr>
        <w:t>省级虚拟仿真实验教学项目</w:t>
      </w:r>
      <w:r>
        <w:rPr>
          <w:rFonts w:hint="eastAsia" w:ascii="方正仿宋_GB2312" w:hAnsi="方正仿宋_GB2312" w:eastAsia="方正仿宋_GB2312" w:cs="方正仿宋_GB2312"/>
          <w:color w:val="auto"/>
          <w:sz w:val="32"/>
          <w:szCs w:val="32"/>
          <w:lang w:val="en-US" w:eastAsia="zh-CN"/>
        </w:rPr>
        <w:t>1</w:t>
      </w:r>
      <w:r>
        <w:rPr>
          <w:rFonts w:hint="eastAsia" w:ascii="方正仿宋_GB2312" w:hAnsi="方正仿宋_GB2312" w:eastAsia="方正仿宋_GB2312" w:cs="方正仿宋_GB2312"/>
          <w:color w:val="auto"/>
          <w:sz w:val="32"/>
          <w:szCs w:val="32"/>
        </w:rPr>
        <w:t>个</w:t>
      </w:r>
      <w:r>
        <w:rPr>
          <w:rFonts w:hint="eastAsia" w:ascii="方正仿宋_GB2312" w:hAnsi="方正仿宋_GB2312" w:eastAsia="方正仿宋_GB2312" w:cs="方正仿宋_GB2312"/>
          <w:color w:val="auto"/>
          <w:sz w:val="32"/>
          <w:szCs w:val="32"/>
          <w:lang w:eastAsia="zh-CN"/>
        </w:rPr>
        <w:t>。</w:t>
      </w:r>
    </w:p>
    <w:p>
      <w:pPr>
        <w:keepNext w:val="0"/>
        <w:keepLines w:val="0"/>
        <w:pageBreakBefore w:val="0"/>
        <w:widowControl w:val="0"/>
        <w:numPr>
          <w:ilvl w:val="0"/>
          <w:numId w:val="0"/>
        </w:numPr>
        <w:tabs>
          <w:tab w:val="left" w:pos="6150"/>
        </w:tabs>
        <w:kinsoku/>
        <w:wordWrap/>
        <w:overflowPunct/>
        <w:topLinePunct w:val="0"/>
        <w:autoSpaceDE/>
        <w:autoSpaceDN/>
        <w:bidi w:val="0"/>
        <w:adjustRightInd w:val="0"/>
        <w:snapToGrid w:val="0"/>
        <w:spacing w:line="520" w:lineRule="exact"/>
        <w:ind w:firstLine="643" w:firstLineChars="200"/>
        <w:jc w:val="both"/>
        <w:textAlignment w:val="auto"/>
        <w:rPr>
          <w:rFonts w:hint="eastAsia" w:ascii="楷体" w:hAnsi="楷体" w:eastAsia="楷体" w:cs="楷体"/>
          <w:b/>
          <w:color w:val="auto"/>
          <w:sz w:val="32"/>
          <w:szCs w:val="32"/>
          <w:lang w:val="en-US" w:eastAsia="zh-CN"/>
        </w:rPr>
      </w:pPr>
      <w:r>
        <w:rPr>
          <w:rFonts w:hint="eastAsia" w:ascii="楷体" w:hAnsi="楷体" w:eastAsia="楷体" w:cs="楷体"/>
          <w:b/>
          <w:color w:val="auto"/>
          <w:sz w:val="32"/>
          <w:szCs w:val="32"/>
        </w:rPr>
        <w:t>（</w:t>
      </w:r>
      <w:r>
        <w:rPr>
          <w:rFonts w:hint="eastAsia" w:ascii="楷体" w:hAnsi="楷体" w:eastAsia="楷体" w:cs="楷体"/>
          <w:b/>
          <w:color w:val="auto"/>
          <w:sz w:val="32"/>
          <w:szCs w:val="32"/>
          <w:lang w:eastAsia="zh-CN"/>
        </w:rPr>
        <w:t>三</w:t>
      </w:r>
      <w:r>
        <w:rPr>
          <w:rFonts w:hint="eastAsia" w:ascii="楷体" w:hAnsi="楷体" w:eastAsia="楷体" w:cs="楷体"/>
          <w:b/>
          <w:color w:val="auto"/>
          <w:sz w:val="32"/>
          <w:szCs w:val="32"/>
        </w:rPr>
        <w:t>）</w:t>
      </w:r>
      <w:r>
        <w:rPr>
          <w:rFonts w:hint="eastAsia" w:ascii="楷体" w:hAnsi="楷体" w:eastAsia="楷体" w:cs="楷体"/>
          <w:b/>
          <w:color w:val="auto"/>
          <w:sz w:val="32"/>
          <w:szCs w:val="32"/>
          <w:lang w:eastAsia="zh-CN"/>
        </w:rPr>
        <w:t>科学研究</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科学研究是动力。深化实施推进高层次科研项目与成果计划，提高科研水平，力争在科学研究和服务地方工作上有标志性成果突破。</w:t>
      </w:r>
    </w:p>
    <w:p>
      <w:pPr>
        <w:keepNext w:val="0"/>
        <w:keepLines w:val="0"/>
        <w:pageBreakBefore w:val="0"/>
        <w:widowControl w:val="0"/>
        <w:numPr>
          <w:ilvl w:val="0"/>
          <w:numId w:val="4"/>
        </w:numPr>
        <w:kinsoku/>
        <w:wordWrap/>
        <w:overflowPunct/>
        <w:topLinePunct w:val="0"/>
        <w:autoSpaceDE/>
        <w:autoSpaceDN/>
        <w:bidi w:val="0"/>
        <w:adjustRightInd/>
        <w:snapToGrid/>
        <w:spacing w:line="520" w:lineRule="exact"/>
        <w:ind w:firstLine="643" w:firstLineChars="200"/>
        <w:jc w:val="both"/>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b/>
          <w:color w:val="auto"/>
          <w:sz w:val="32"/>
          <w:szCs w:val="32"/>
        </w:rPr>
        <w:t>凝练科学研究特色。</w:t>
      </w:r>
      <w:r>
        <w:rPr>
          <w:rFonts w:hint="eastAsia" w:ascii="方正仿宋_GB2312" w:hAnsi="方正仿宋_GB2312" w:eastAsia="方正仿宋_GB2312" w:cs="方正仿宋_GB2312"/>
          <w:color w:val="auto"/>
          <w:sz w:val="32"/>
          <w:szCs w:val="32"/>
        </w:rPr>
        <w:t>围绕“应用语言学”“外国文学”与“翻译学”相关领域，做课题、写论文、拿奖项。</w:t>
      </w:r>
    </w:p>
    <w:p>
      <w:pPr>
        <w:keepNext w:val="0"/>
        <w:keepLines w:val="0"/>
        <w:pageBreakBefore w:val="0"/>
        <w:widowControl w:val="0"/>
        <w:numPr>
          <w:ilvl w:val="0"/>
          <w:numId w:val="4"/>
        </w:numPr>
        <w:kinsoku/>
        <w:wordWrap/>
        <w:overflowPunct/>
        <w:topLinePunct w:val="0"/>
        <w:autoSpaceDE/>
        <w:autoSpaceDN/>
        <w:bidi w:val="0"/>
        <w:adjustRightInd/>
        <w:snapToGrid/>
        <w:spacing w:line="520" w:lineRule="exact"/>
        <w:ind w:firstLine="643" w:firstLineChars="200"/>
        <w:jc w:val="both"/>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b/>
          <w:color w:val="auto"/>
          <w:sz w:val="32"/>
          <w:szCs w:val="32"/>
        </w:rPr>
        <w:t>推动涉外领域服务创新。</w:t>
      </w:r>
      <w:r>
        <w:rPr>
          <w:rFonts w:hint="eastAsia" w:ascii="方正仿宋_GB2312" w:hAnsi="方正仿宋_GB2312" w:eastAsia="方正仿宋_GB2312" w:cs="方正仿宋_GB2312"/>
          <w:color w:val="auto"/>
          <w:sz w:val="32"/>
          <w:szCs w:val="32"/>
        </w:rPr>
        <w:t>采取“学科融合”“校地融合”方式，与相关学科如光电信息科学、新能源材料、大数据技术、国际贸易等</w:t>
      </w:r>
      <w:r>
        <w:rPr>
          <w:rFonts w:hint="eastAsia" w:ascii="方正仿宋_GB2312" w:hAnsi="方正仿宋_GB2312" w:eastAsia="方正仿宋_GB2312" w:cs="方正仿宋_GB2312"/>
          <w:color w:val="auto"/>
          <w:sz w:val="32"/>
          <w:szCs w:val="32"/>
          <w:lang w:eastAsia="zh-CN"/>
        </w:rPr>
        <w:t>以</w:t>
      </w:r>
      <w:r>
        <w:rPr>
          <w:rFonts w:hint="eastAsia" w:ascii="方正仿宋_GB2312" w:hAnsi="方正仿宋_GB2312" w:eastAsia="方正仿宋_GB2312" w:cs="方正仿宋_GB2312"/>
          <w:color w:val="auto"/>
          <w:sz w:val="32"/>
          <w:szCs w:val="32"/>
        </w:rPr>
        <w:t>及区域优势产业如新能源、生物制药、国际商务等</w:t>
      </w:r>
      <w:r>
        <w:rPr>
          <w:rFonts w:hint="eastAsia" w:ascii="方正仿宋_GB2312" w:hAnsi="方正仿宋_GB2312" w:eastAsia="方正仿宋_GB2312" w:cs="方正仿宋_GB2312"/>
          <w:color w:val="auto"/>
          <w:sz w:val="32"/>
          <w:szCs w:val="32"/>
          <w:lang w:eastAsia="zh-CN"/>
        </w:rPr>
        <w:t>领域的</w:t>
      </w:r>
      <w:r>
        <w:rPr>
          <w:rFonts w:hint="eastAsia" w:ascii="方正仿宋_GB2312" w:hAnsi="方正仿宋_GB2312" w:eastAsia="方正仿宋_GB2312" w:cs="方正仿宋_GB2312"/>
          <w:color w:val="auto"/>
          <w:sz w:val="32"/>
          <w:szCs w:val="32"/>
        </w:rPr>
        <w:t>企业与科研机构在师资队伍、课程建设、课题申报、实践平台、服务地方等方面共享资源，做好服务湖州的涉外翻译文章。</w:t>
      </w:r>
    </w:p>
    <w:p>
      <w:pPr>
        <w:keepNext w:val="0"/>
        <w:keepLines w:val="0"/>
        <w:pageBreakBefore w:val="0"/>
        <w:widowControl w:val="0"/>
        <w:numPr>
          <w:ilvl w:val="0"/>
          <w:numId w:val="4"/>
        </w:numPr>
        <w:kinsoku/>
        <w:wordWrap/>
        <w:overflowPunct/>
        <w:topLinePunct w:val="0"/>
        <w:autoSpaceDE/>
        <w:autoSpaceDN/>
        <w:bidi w:val="0"/>
        <w:adjustRightInd/>
        <w:snapToGrid/>
        <w:spacing w:line="520" w:lineRule="exact"/>
        <w:ind w:firstLine="643" w:firstLineChars="200"/>
        <w:jc w:val="both"/>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b/>
          <w:color w:val="auto"/>
          <w:sz w:val="32"/>
          <w:szCs w:val="32"/>
        </w:rPr>
        <w:t>提高国</w:t>
      </w:r>
      <w:r>
        <w:rPr>
          <w:rFonts w:hint="eastAsia" w:ascii="方正仿宋_GB2312" w:hAnsi="方正仿宋_GB2312" w:eastAsia="方正仿宋_GB2312" w:cs="方正仿宋_GB2312"/>
          <w:b/>
          <w:color w:val="auto"/>
          <w:sz w:val="32"/>
          <w:szCs w:val="32"/>
          <w:lang w:eastAsia="zh-CN"/>
        </w:rPr>
        <w:t>家</w:t>
      </w:r>
      <w:r>
        <w:rPr>
          <w:rFonts w:hint="eastAsia" w:ascii="方正仿宋_GB2312" w:hAnsi="方正仿宋_GB2312" w:eastAsia="方正仿宋_GB2312" w:cs="方正仿宋_GB2312"/>
          <w:b/>
          <w:color w:val="auto"/>
          <w:sz w:val="32"/>
          <w:szCs w:val="32"/>
        </w:rPr>
        <w:t>社科</w:t>
      </w:r>
      <w:r>
        <w:rPr>
          <w:rFonts w:hint="eastAsia" w:ascii="方正仿宋_GB2312" w:hAnsi="方正仿宋_GB2312" w:eastAsia="方正仿宋_GB2312" w:cs="方正仿宋_GB2312"/>
          <w:b/>
          <w:color w:val="auto"/>
          <w:sz w:val="32"/>
          <w:szCs w:val="32"/>
          <w:lang w:eastAsia="zh-CN"/>
        </w:rPr>
        <w:t>基金</w:t>
      </w:r>
      <w:r>
        <w:rPr>
          <w:rFonts w:hint="eastAsia" w:ascii="方正仿宋_GB2312" w:hAnsi="方正仿宋_GB2312" w:eastAsia="方正仿宋_GB2312" w:cs="方正仿宋_GB2312"/>
          <w:b/>
          <w:color w:val="auto"/>
          <w:sz w:val="32"/>
          <w:szCs w:val="32"/>
        </w:rPr>
        <w:t>申报成功率。</w:t>
      </w:r>
      <w:r>
        <w:rPr>
          <w:rFonts w:hint="eastAsia" w:ascii="方正仿宋_GB2312" w:hAnsi="方正仿宋_GB2312" w:eastAsia="方正仿宋_GB2312" w:cs="方正仿宋_GB2312"/>
          <w:color w:val="auto"/>
          <w:sz w:val="32"/>
          <w:szCs w:val="32"/>
        </w:rPr>
        <w:t>围绕国家社科基金申报，突出新时代在语言学、文学、中国文化走出去、讲好中国故事方面的外语作为，体现热点、重点、难点，做到申报题目有吸引力，</w:t>
      </w:r>
      <w:r>
        <w:rPr>
          <w:rFonts w:hint="eastAsia" w:ascii="方正仿宋_GB2312" w:hAnsi="方正仿宋_GB2312" w:eastAsia="方正仿宋_GB2312" w:cs="方正仿宋_GB2312"/>
          <w:color w:val="auto"/>
          <w:sz w:val="32"/>
          <w:szCs w:val="32"/>
          <w:lang w:eastAsia="zh-CN"/>
        </w:rPr>
        <w:t>申报内容</w:t>
      </w:r>
      <w:r>
        <w:rPr>
          <w:rFonts w:hint="eastAsia" w:ascii="方正仿宋_GB2312" w:hAnsi="方正仿宋_GB2312" w:eastAsia="方正仿宋_GB2312" w:cs="方正仿宋_GB2312"/>
          <w:color w:val="auto"/>
          <w:sz w:val="32"/>
          <w:szCs w:val="32"/>
        </w:rPr>
        <w:t>有质量。重点着力国家社科基金中华学术外译项目、冷门绝学项目申报，聚焦“一带一路”沿线国别区域史、丝绸文化，争取找到既冷门，又符合时代特色的好题目，译出好</w:t>
      </w:r>
      <w:r>
        <w:rPr>
          <w:rFonts w:hint="eastAsia" w:ascii="方正仿宋_GB2312" w:hAnsi="方正仿宋_GB2312" w:eastAsia="方正仿宋_GB2312" w:cs="方正仿宋_GB2312"/>
          <w:color w:val="auto"/>
          <w:sz w:val="32"/>
          <w:szCs w:val="32"/>
          <w:lang w:eastAsia="zh-CN"/>
        </w:rPr>
        <w:t>样</w:t>
      </w:r>
      <w:r>
        <w:rPr>
          <w:rFonts w:hint="eastAsia" w:ascii="方正仿宋_GB2312" w:hAnsi="方正仿宋_GB2312" w:eastAsia="方正仿宋_GB2312" w:cs="方正仿宋_GB2312"/>
          <w:color w:val="auto"/>
          <w:sz w:val="32"/>
          <w:szCs w:val="32"/>
        </w:rPr>
        <w:t>章，写出好本子。</w:t>
      </w:r>
    </w:p>
    <w:p>
      <w:pPr>
        <w:keepNext w:val="0"/>
        <w:keepLines w:val="0"/>
        <w:pageBreakBefore w:val="0"/>
        <w:widowControl w:val="0"/>
        <w:numPr>
          <w:ilvl w:val="0"/>
          <w:numId w:val="4"/>
        </w:numPr>
        <w:kinsoku/>
        <w:wordWrap/>
        <w:overflowPunct/>
        <w:topLinePunct w:val="0"/>
        <w:autoSpaceDE/>
        <w:autoSpaceDN/>
        <w:bidi w:val="0"/>
        <w:adjustRightInd/>
        <w:snapToGrid/>
        <w:spacing w:line="520" w:lineRule="exact"/>
        <w:ind w:firstLine="643" w:firstLineChars="200"/>
        <w:jc w:val="both"/>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b/>
          <w:color w:val="auto"/>
          <w:sz w:val="32"/>
          <w:szCs w:val="32"/>
        </w:rPr>
        <w:t>提</w:t>
      </w:r>
      <w:r>
        <w:rPr>
          <w:rFonts w:hint="eastAsia" w:ascii="方正仿宋_GB2312" w:hAnsi="方正仿宋_GB2312" w:eastAsia="方正仿宋_GB2312" w:cs="方正仿宋_GB2312"/>
          <w:b/>
          <w:color w:val="auto"/>
          <w:sz w:val="32"/>
          <w:szCs w:val="32"/>
          <w:lang w:eastAsia="zh-CN"/>
        </w:rPr>
        <w:t>升</w:t>
      </w:r>
      <w:r>
        <w:rPr>
          <w:rFonts w:hint="eastAsia" w:ascii="方正仿宋_GB2312" w:hAnsi="方正仿宋_GB2312" w:eastAsia="方正仿宋_GB2312" w:cs="方正仿宋_GB2312"/>
          <w:b/>
          <w:color w:val="auto"/>
          <w:sz w:val="32"/>
          <w:szCs w:val="32"/>
        </w:rPr>
        <w:t>科研</w:t>
      </w:r>
      <w:r>
        <w:rPr>
          <w:rFonts w:hint="eastAsia" w:ascii="方正仿宋_GB2312" w:hAnsi="方正仿宋_GB2312" w:eastAsia="方正仿宋_GB2312" w:cs="方正仿宋_GB2312"/>
          <w:b/>
          <w:color w:val="auto"/>
          <w:sz w:val="32"/>
          <w:szCs w:val="32"/>
          <w:lang w:eastAsia="zh-CN"/>
        </w:rPr>
        <w:t>成果</w:t>
      </w:r>
      <w:r>
        <w:rPr>
          <w:rFonts w:hint="eastAsia" w:ascii="方正仿宋_GB2312" w:hAnsi="方正仿宋_GB2312" w:eastAsia="方正仿宋_GB2312" w:cs="方正仿宋_GB2312"/>
          <w:b/>
          <w:color w:val="auto"/>
          <w:sz w:val="32"/>
          <w:szCs w:val="32"/>
        </w:rPr>
        <w:t>水平。</w:t>
      </w:r>
      <w:r>
        <w:rPr>
          <w:rFonts w:hint="eastAsia" w:ascii="方正仿宋_GB2312" w:hAnsi="方正仿宋_GB2312" w:eastAsia="方正仿宋_GB2312" w:cs="方正仿宋_GB2312"/>
          <w:color w:val="auto"/>
          <w:sz w:val="32"/>
          <w:szCs w:val="32"/>
        </w:rPr>
        <w:t>争取省级</w:t>
      </w:r>
      <w:r>
        <w:rPr>
          <w:rFonts w:hint="eastAsia" w:ascii="方正仿宋_GB2312" w:hAnsi="方正仿宋_GB2312" w:eastAsia="方正仿宋_GB2312" w:cs="方正仿宋_GB2312"/>
          <w:color w:val="auto"/>
          <w:sz w:val="32"/>
          <w:szCs w:val="32"/>
          <w:lang w:eastAsia="zh-CN"/>
        </w:rPr>
        <w:t>以上</w:t>
      </w:r>
      <w:r>
        <w:rPr>
          <w:rFonts w:hint="eastAsia" w:ascii="方正仿宋_GB2312" w:hAnsi="方正仿宋_GB2312" w:eastAsia="方正仿宋_GB2312" w:cs="方正仿宋_GB2312"/>
          <w:color w:val="auto"/>
          <w:sz w:val="32"/>
          <w:szCs w:val="32"/>
        </w:rPr>
        <w:t>哲学社会科学奖</w:t>
      </w:r>
      <w:r>
        <w:rPr>
          <w:rFonts w:hint="eastAsia" w:ascii="方正仿宋_GB2312" w:hAnsi="方正仿宋_GB2312" w:eastAsia="方正仿宋_GB2312" w:cs="方正仿宋_GB2312"/>
          <w:color w:val="auto"/>
          <w:sz w:val="32"/>
          <w:szCs w:val="32"/>
          <w:lang w:eastAsia="zh-CN"/>
        </w:rPr>
        <w:t>，在</w:t>
      </w:r>
      <w:r>
        <w:rPr>
          <w:rFonts w:hint="eastAsia" w:ascii="方正仿宋_GB2312" w:hAnsi="方正仿宋_GB2312" w:eastAsia="方正仿宋_GB2312" w:cs="方正仿宋_GB2312"/>
          <w:color w:val="auto"/>
          <w:sz w:val="32"/>
          <w:szCs w:val="32"/>
        </w:rPr>
        <w:t>标志性科研成果</w:t>
      </w:r>
      <w:r>
        <w:rPr>
          <w:rFonts w:hint="eastAsia" w:ascii="方正仿宋_GB2312" w:hAnsi="方正仿宋_GB2312" w:eastAsia="方正仿宋_GB2312" w:cs="方正仿宋_GB2312"/>
          <w:color w:val="auto"/>
          <w:sz w:val="32"/>
          <w:szCs w:val="32"/>
          <w:lang w:eastAsia="zh-CN"/>
        </w:rPr>
        <w:t>上有</w:t>
      </w:r>
      <w:r>
        <w:rPr>
          <w:rFonts w:hint="eastAsia" w:ascii="方正仿宋_GB2312" w:hAnsi="方正仿宋_GB2312" w:eastAsia="方正仿宋_GB2312" w:cs="方正仿宋_GB2312"/>
          <w:color w:val="auto"/>
          <w:sz w:val="32"/>
          <w:szCs w:val="32"/>
        </w:rPr>
        <w:t>突破。</w:t>
      </w:r>
    </w:p>
    <w:p>
      <w:pPr>
        <w:pStyle w:val="3"/>
        <w:pageBreakBefore w:val="0"/>
        <w:widowControl w:val="0"/>
        <w:kinsoku/>
        <w:wordWrap/>
        <w:overflowPunct/>
        <w:topLinePunct w:val="0"/>
        <w:autoSpaceDE/>
        <w:autoSpaceDN/>
        <w:bidi w:val="0"/>
        <w:adjustRightInd/>
        <w:snapToGrid/>
        <w:spacing w:before="0" w:after="0" w:line="520" w:lineRule="exact"/>
        <w:ind w:firstLine="643" w:firstLineChars="200"/>
        <w:jc w:val="both"/>
        <w:textAlignment w:val="auto"/>
        <w:rPr>
          <w:rFonts w:hint="eastAsia" w:ascii="楷体" w:hAnsi="楷体" w:eastAsia="楷体" w:cs="楷体"/>
          <w:b/>
          <w:color w:val="auto"/>
          <w:szCs w:val="32"/>
        </w:rPr>
      </w:pPr>
      <w:r>
        <w:rPr>
          <w:rFonts w:hint="eastAsia" w:ascii="楷体" w:hAnsi="楷体" w:eastAsia="楷体" w:cs="楷体"/>
          <w:b/>
          <w:color w:val="auto"/>
          <w:szCs w:val="32"/>
        </w:rPr>
        <w:t>（四）教育国际化</w:t>
      </w:r>
    </w:p>
    <w:p>
      <w:pPr>
        <w:pageBreakBefore w:val="0"/>
        <w:widowControl w:val="0"/>
        <w:kinsoku/>
        <w:wordWrap/>
        <w:overflowPunct/>
        <w:topLinePunct w:val="0"/>
        <w:autoSpaceDE/>
        <w:autoSpaceDN/>
        <w:bidi w:val="0"/>
        <w:spacing w:line="520" w:lineRule="exact"/>
        <w:ind w:firstLine="640" w:firstLineChars="200"/>
        <w:jc w:val="both"/>
        <w:textAlignment w:val="auto"/>
        <w:rPr>
          <w:rFonts w:hint="eastAsia" w:ascii="方正仿宋_GB2312" w:hAnsi="方正仿宋_GB2312" w:eastAsia="方正仿宋_GB2312" w:cs="方正仿宋_GB2312"/>
          <w:b/>
          <w:color w:val="auto"/>
          <w:sz w:val="32"/>
          <w:szCs w:val="32"/>
        </w:rPr>
      </w:pPr>
      <w:r>
        <w:rPr>
          <w:rFonts w:hint="eastAsia" w:ascii="方正仿宋_GB2312" w:hAnsi="方正仿宋_GB2312" w:eastAsia="方正仿宋_GB2312" w:cs="方正仿宋_GB2312"/>
          <w:color w:val="auto"/>
          <w:sz w:val="32"/>
          <w:szCs w:val="32"/>
        </w:rPr>
        <w:t>教育国际化是必由之路。要继续加强国际交流与合作，积极参与“一带一路”教育共建行动，</w:t>
      </w:r>
      <w:r>
        <w:rPr>
          <w:rFonts w:hint="eastAsia" w:ascii="方正仿宋_GB2312" w:hAnsi="方正仿宋_GB2312" w:eastAsia="方正仿宋_GB2312" w:cs="方正仿宋_GB2312"/>
          <w:color w:val="auto"/>
          <w:sz w:val="32"/>
          <w:szCs w:val="32"/>
          <w:lang w:eastAsia="zh-CN"/>
        </w:rPr>
        <w:t>使</w:t>
      </w:r>
      <w:r>
        <w:rPr>
          <w:rFonts w:hint="eastAsia" w:ascii="方正仿宋_GB2312" w:hAnsi="方正仿宋_GB2312" w:eastAsia="方正仿宋_GB2312" w:cs="方正仿宋_GB2312"/>
          <w:color w:val="auto"/>
          <w:sz w:val="32"/>
          <w:szCs w:val="32"/>
        </w:rPr>
        <w:t>教育国际化总体水平明显提升，主要指标跻身全省同类院校先进行列，形成学校主导、学院主体、师生主角的全方位、多层次、宽领域的“大外事格局”。</w:t>
      </w:r>
    </w:p>
    <w:p>
      <w:pPr>
        <w:pageBreakBefore w:val="0"/>
        <w:widowControl w:val="0"/>
        <w:numPr>
          <w:ilvl w:val="0"/>
          <w:numId w:val="5"/>
        </w:numPr>
        <w:kinsoku/>
        <w:wordWrap/>
        <w:overflowPunct/>
        <w:topLinePunct w:val="0"/>
        <w:autoSpaceDE/>
        <w:autoSpaceDN/>
        <w:bidi w:val="0"/>
        <w:spacing w:line="520" w:lineRule="exact"/>
        <w:ind w:firstLine="643" w:firstLineChars="200"/>
        <w:jc w:val="both"/>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b/>
          <w:color w:val="auto"/>
          <w:sz w:val="32"/>
          <w:szCs w:val="32"/>
        </w:rPr>
        <w:t>加强与国外高校的合作与交流，探索多形式、多途径的国际合作模式。</w:t>
      </w:r>
      <w:r>
        <w:rPr>
          <w:rFonts w:hint="eastAsia" w:ascii="方正仿宋_GB2312" w:hAnsi="方正仿宋_GB2312" w:eastAsia="方正仿宋_GB2312" w:cs="方正仿宋_GB2312"/>
          <w:color w:val="auto"/>
          <w:sz w:val="32"/>
          <w:szCs w:val="32"/>
        </w:rPr>
        <w:t>争取与英语国家、日本、俄罗斯等国家</w:t>
      </w:r>
      <w:r>
        <w:rPr>
          <w:rFonts w:hint="eastAsia" w:ascii="方正仿宋_GB2312" w:hAnsi="方正仿宋_GB2312" w:eastAsia="方正仿宋_GB2312" w:cs="方正仿宋_GB2312"/>
          <w:color w:val="auto"/>
          <w:sz w:val="32"/>
          <w:szCs w:val="32"/>
          <w:lang w:eastAsia="zh-CN"/>
        </w:rPr>
        <w:t>的</w:t>
      </w:r>
      <w:r>
        <w:rPr>
          <w:rFonts w:hint="eastAsia" w:ascii="方正仿宋_GB2312" w:hAnsi="方正仿宋_GB2312" w:eastAsia="方正仿宋_GB2312" w:cs="方正仿宋_GB2312"/>
          <w:color w:val="auto"/>
          <w:sz w:val="32"/>
          <w:szCs w:val="32"/>
        </w:rPr>
        <w:t>6所高校签订校际合作协议，确立教师互派、学生互换、学分互认等合作关系。加大与国（境）外高校合作交流力度，争取每年外派学生达20名以上。</w:t>
      </w:r>
    </w:p>
    <w:p>
      <w:pPr>
        <w:pageBreakBefore w:val="0"/>
        <w:widowControl w:val="0"/>
        <w:numPr>
          <w:ilvl w:val="0"/>
          <w:numId w:val="5"/>
        </w:numPr>
        <w:kinsoku/>
        <w:wordWrap/>
        <w:overflowPunct/>
        <w:topLinePunct w:val="0"/>
        <w:autoSpaceDE/>
        <w:autoSpaceDN/>
        <w:bidi w:val="0"/>
        <w:spacing w:line="520" w:lineRule="exact"/>
        <w:ind w:firstLine="643" w:firstLineChars="200"/>
        <w:jc w:val="both"/>
        <w:textAlignment w:val="auto"/>
        <w:rPr>
          <w:rFonts w:hint="eastAsia" w:ascii="方正仿宋_GB2312" w:hAnsi="方正仿宋_GB2312" w:eastAsia="方正仿宋_GB2312" w:cs="方正仿宋_GB2312"/>
          <w:color w:val="auto"/>
          <w:sz w:val="32"/>
          <w:szCs w:val="32"/>
        </w:rPr>
      </w:pPr>
      <w:bookmarkStart w:id="12" w:name="OLE_LINK6"/>
      <w:bookmarkEnd w:id="12"/>
      <w:bookmarkStart w:id="13" w:name="OLE_LINK1"/>
      <w:bookmarkEnd w:id="13"/>
      <w:bookmarkStart w:id="14" w:name="OLE_LINK5"/>
      <w:bookmarkEnd w:id="14"/>
      <w:bookmarkStart w:id="15" w:name="_Toc303063573"/>
      <w:bookmarkEnd w:id="15"/>
      <w:bookmarkStart w:id="16" w:name="OLE_LINK2"/>
      <w:bookmarkEnd w:id="16"/>
      <w:r>
        <w:rPr>
          <w:rFonts w:hint="eastAsia" w:ascii="方正仿宋_GB2312" w:hAnsi="方正仿宋_GB2312" w:eastAsia="方正仿宋_GB2312" w:cs="方正仿宋_GB2312"/>
          <w:b/>
          <w:color w:val="auto"/>
          <w:sz w:val="32"/>
          <w:szCs w:val="32"/>
        </w:rPr>
        <w:t>提高师资和管理干部队伍国际化水平。</w:t>
      </w:r>
      <w:r>
        <w:rPr>
          <w:rFonts w:hint="eastAsia" w:ascii="方正仿宋_GB2312" w:hAnsi="方正仿宋_GB2312" w:eastAsia="方正仿宋_GB2312" w:cs="方正仿宋_GB2312"/>
          <w:color w:val="auto"/>
          <w:sz w:val="32"/>
          <w:szCs w:val="32"/>
        </w:rPr>
        <w:t>加大外聘英语母语国家外教的工作力度，加大选送中青年骨干教师到国（境）外高水平大学学习的力度。拓宽渠道，使来校工作的英语类文教专家成倍增长。</w:t>
      </w:r>
    </w:p>
    <w:p>
      <w:pPr>
        <w:pageBreakBefore w:val="0"/>
        <w:widowControl w:val="0"/>
        <w:numPr>
          <w:ilvl w:val="0"/>
          <w:numId w:val="5"/>
        </w:numPr>
        <w:kinsoku/>
        <w:wordWrap/>
        <w:overflowPunct/>
        <w:topLinePunct w:val="0"/>
        <w:autoSpaceDE/>
        <w:autoSpaceDN/>
        <w:bidi w:val="0"/>
        <w:spacing w:line="520" w:lineRule="exact"/>
        <w:ind w:firstLine="643" w:firstLineChars="200"/>
        <w:jc w:val="both"/>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b/>
          <w:color w:val="auto"/>
          <w:sz w:val="32"/>
          <w:szCs w:val="32"/>
        </w:rPr>
        <w:t>推进专业国际化项目建设。</w:t>
      </w:r>
      <w:r>
        <w:rPr>
          <w:rFonts w:hint="eastAsia" w:ascii="方正仿宋_GB2312" w:hAnsi="方正仿宋_GB2312" w:eastAsia="方正仿宋_GB2312" w:cs="方正仿宋_GB2312"/>
          <w:color w:val="auto"/>
          <w:sz w:val="32"/>
          <w:szCs w:val="32"/>
        </w:rPr>
        <w:t>将日语</w:t>
      </w:r>
      <w:r>
        <w:rPr>
          <w:rFonts w:hint="eastAsia" w:ascii="方正仿宋_GB2312" w:hAnsi="方正仿宋_GB2312" w:eastAsia="方正仿宋_GB2312" w:cs="方正仿宋_GB2312"/>
          <w:color w:val="auto"/>
          <w:sz w:val="32"/>
          <w:szCs w:val="32"/>
          <w:lang w:eastAsia="zh-CN"/>
        </w:rPr>
        <w:t>专业和</w:t>
      </w:r>
      <w:r>
        <w:rPr>
          <w:rFonts w:hint="eastAsia" w:ascii="方正仿宋_GB2312" w:hAnsi="方正仿宋_GB2312" w:eastAsia="方正仿宋_GB2312" w:cs="方正仿宋_GB2312"/>
          <w:color w:val="auto"/>
          <w:sz w:val="32"/>
          <w:szCs w:val="32"/>
        </w:rPr>
        <w:t>俄语</w:t>
      </w:r>
      <w:r>
        <w:rPr>
          <w:rFonts w:hint="eastAsia" w:ascii="方正仿宋_GB2312" w:hAnsi="方正仿宋_GB2312" w:eastAsia="方正仿宋_GB2312" w:cs="方正仿宋_GB2312"/>
          <w:color w:val="auto"/>
          <w:sz w:val="32"/>
          <w:szCs w:val="32"/>
          <w:lang w:eastAsia="zh-CN"/>
        </w:rPr>
        <w:t>专业</w:t>
      </w:r>
      <w:r>
        <w:rPr>
          <w:rFonts w:hint="eastAsia" w:ascii="方正仿宋_GB2312" w:hAnsi="方正仿宋_GB2312" w:eastAsia="方正仿宋_GB2312" w:cs="方正仿宋_GB2312"/>
          <w:color w:val="auto"/>
          <w:sz w:val="32"/>
          <w:szCs w:val="32"/>
        </w:rPr>
        <w:t>建成国际化专业。针对专业特点，明确国际化专业的目标和定位，以日语、俄语</w:t>
      </w:r>
      <w:r>
        <w:rPr>
          <w:rFonts w:hint="eastAsia" w:ascii="方正仿宋_GB2312" w:hAnsi="方正仿宋_GB2312" w:eastAsia="方正仿宋_GB2312" w:cs="方正仿宋_GB2312"/>
          <w:color w:val="auto"/>
          <w:sz w:val="32"/>
          <w:szCs w:val="32"/>
          <w:lang w:eastAsia="zh-CN"/>
        </w:rPr>
        <w:t>两个</w:t>
      </w:r>
      <w:r>
        <w:rPr>
          <w:rFonts w:hint="eastAsia" w:ascii="方正仿宋_GB2312" w:hAnsi="方正仿宋_GB2312" w:eastAsia="方正仿宋_GB2312" w:cs="方正仿宋_GB2312"/>
          <w:color w:val="auto"/>
          <w:sz w:val="32"/>
          <w:szCs w:val="32"/>
        </w:rPr>
        <w:t>专业建设为依托，逐步建立规范的</w:t>
      </w:r>
      <w:r>
        <w:rPr>
          <w:rFonts w:hint="eastAsia" w:ascii="方正仿宋_GB2312" w:hAnsi="方正仿宋_GB2312" w:eastAsia="方正仿宋_GB2312" w:cs="方正仿宋_GB2312"/>
          <w:color w:val="auto"/>
          <w:sz w:val="32"/>
          <w:szCs w:val="32"/>
          <w:lang w:eastAsia="zh-CN"/>
        </w:rPr>
        <w:t>，并</w:t>
      </w:r>
      <w:r>
        <w:rPr>
          <w:rFonts w:hint="eastAsia" w:ascii="方正仿宋_GB2312" w:hAnsi="方正仿宋_GB2312" w:eastAsia="方正仿宋_GB2312" w:cs="方正仿宋_GB2312"/>
          <w:color w:val="auto"/>
          <w:sz w:val="32"/>
          <w:szCs w:val="32"/>
        </w:rPr>
        <w:t>与国际接轨的课程体系。</w:t>
      </w:r>
    </w:p>
    <w:p>
      <w:pPr>
        <w:pStyle w:val="3"/>
        <w:pageBreakBefore w:val="0"/>
        <w:widowControl w:val="0"/>
        <w:kinsoku/>
        <w:wordWrap/>
        <w:overflowPunct/>
        <w:topLinePunct w:val="0"/>
        <w:autoSpaceDE/>
        <w:autoSpaceDN/>
        <w:bidi w:val="0"/>
        <w:spacing w:before="0" w:after="0" w:line="520" w:lineRule="exact"/>
        <w:ind w:firstLine="643" w:firstLineChars="200"/>
        <w:jc w:val="both"/>
        <w:textAlignment w:val="auto"/>
        <w:rPr>
          <w:rFonts w:hint="eastAsia" w:ascii="楷体" w:hAnsi="楷体" w:eastAsia="楷体" w:cs="楷体"/>
          <w:b/>
          <w:color w:val="auto"/>
          <w:szCs w:val="32"/>
        </w:rPr>
      </w:pPr>
      <w:r>
        <w:rPr>
          <w:rFonts w:hint="eastAsia" w:ascii="楷体" w:hAnsi="楷体" w:eastAsia="楷体" w:cs="楷体"/>
          <w:b/>
          <w:color w:val="auto"/>
          <w:szCs w:val="32"/>
        </w:rPr>
        <w:t>（五）学院文化</w:t>
      </w:r>
    </w:p>
    <w:p>
      <w:pPr>
        <w:pageBreakBefore w:val="0"/>
        <w:widowControl w:val="0"/>
        <w:tabs>
          <w:tab w:val="left" w:pos="6150"/>
        </w:tabs>
        <w:kinsoku/>
        <w:wordWrap/>
        <w:overflowPunct/>
        <w:topLinePunct w:val="0"/>
        <w:autoSpaceDE/>
        <w:autoSpaceDN/>
        <w:bidi w:val="0"/>
        <w:adjustRightInd w:val="0"/>
        <w:snapToGrid w:val="0"/>
        <w:spacing w:line="520" w:lineRule="exact"/>
        <w:ind w:firstLine="640" w:firstLineChars="200"/>
        <w:jc w:val="both"/>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学院文化是软实力。要以社会主义核心价值观为统领，秉承“语通中外，文贯东西”</w:t>
      </w:r>
      <w:r>
        <w:rPr>
          <w:rFonts w:hint="eastAsia" w:ascii="方正仿宋_GB2312" w:hAnsi="方正仿宋_GB2312" w:eastAsia="方正仿宋_GB2312" w:cs="方正仿宋_GB2312"/>
          <w:color w:val="auto"/>
          <w:sz w:val="32"/>
          <w:szCs w:val="32"/>
          <w:lang w:eastAsia="zh-CN"/>
        </w:rPr>
        <w:t>的</w:t>
      </w:r>
      <w:r>
        <w:rPr>
          <w:rFonts w:hint="eastAsia" w:ascii="方正仿宋_GB2312" w:hAnsi="方正仿宋_GB2312" w:eastAsia="方正仿宋_GB2312" w:cs="方正仿宋_GB2312"/>
          <w:color w:val="auto"/>
          <w:sz w:val="32"/>
          <w:szCs w:val="32"/>
        </w:rPr>
        <w:t>院铭精神，大力推进精神文化、制度文化、学术文化、环境文化建设，努力将学院建成广大师生的精神家园和绿色美丽的生态家园。</w:t>
      </w:r>
    </w:p>
    <w:p>
      <w:pPr>
        <w:pageBreakBefore w:val="0"/>
        <w:widowControl w:val="0"/>
        <w:numPr>
          <w:ilvl w:val="0"/>
          <w:numId w:val="6"/>
        </w:numPr>
        <w:tabs>
          <w:tab w:val="left" w:pos="6150"/>
        </w:tabs>
        <w:kinsoku/>
        <w:wordWrap/>
        <w:overflowPunct/>
        <w:topLinePunct w:val="0"/>
        <w:autoSpaceDE/>
        <w:autoSpaceDN/>
        <w:bidi w:val="0"/>
        <w:adjustRightInd w:val="0"/>
        <w:snapToGrid w:val="0"/>
        <w:spacing w:line="520" w:lineRule="exact"/>
        <w:ind w:firstLine="643" w:firstLineChars="200"/>
        <w:jc w:val="both"/>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b/>
          <w:bCs/>
          <w:color w:val="auto"/>
          <w:sz w:val="32"/>
          <w:szCs w:val="32"/>
        </w:rPr>
        <w:t>加强文化品牌建设。</w:t>
      </w:r>
      <w:r>
        <w:rPr>
          <w:rFonts w:hint="eastAsia" w:ascii="方正仿宋_GB2312" w:hAnsi="方正仿宋_GB2312" w:eastAsia="方正仿宋_GB2312" w:cs="方正仿宋_GB2312"/>
          <w:color w:val="auto"/>
          <w:sz w:val="32"/>
          <w:szCs w:val="32"/>
        </w:rPr>
        <w:t>不断深化“一节一角一桥”文化品牌内涵，以外语节、外语角</w:t>
      </w:r>
      <w:r>
        <w:rPr>
          <w:rFonts w:hint="eastAsia" w:ascii="方正仿宋_GB2312" w:hAnsi="方正仿宋_GB2312" w:eastAsia="方正仿宋_GB2312" w:cs="方正仿宋_GB2312"/>
          <w:color w:val="auto"/>
          <w:sz w:val="32"/>
          <w:szCs w:val="32"/>
          <w:lang w:eastAsia="zh-CN"/>
        </w:rPr>
        <w:t>和</w:t>
      </w:r>
      <w:r>
        <w:rPr>
          <w:rFonts w:hint="eastAsia" w:ascii="方正仿宋_GB2312" w:hAnsi="方正仿宋_GB2312" w:eastAsia="方正仿宋_GB2312" w:cs="方正仿宋_GB2312"/>
          <w:color w:val="auto"/>
          <w:sz w:val="32"/>
          <w:szCs w:val="32"/>
        </w:rPr>
        <w:t>外语桥为文化载体，加强语言传播文化品牌建设。推进以“</w:t>
      </w:r>
      <w:r>
        <w:rPr>
          <w:rFonts w:hint="default" w:ascii="Times New Roman" w:hAnsi="Times New Roman" w:eastAsia="方正仿宋_GB2312" w:cs="Times New Roman"/>
          <w:color w:val="auto"/>
          <w:sz w:val="32"/>
          <w:szCs w:val="32"/>
        </w:rPr>
        <w:t>World View</w:t>
      </w:r>
      <w:r>
        <w:rPr>
          <w:rFonts w:hint="eastAsia" w:ascii="方正仿宋_GB2312" w:hAnsi="方正仿宋_GB2312" w:eastAsia="方正仿宋_GB2312" w:cs="方正仿宋_GB2312"/>
          <w:color w:val="auto"/>
          <w:sz w:val="32"/>
          <w:szCs w:val="32"/>
        </w:rPr>
        <w:t>”论坛、“带你看世界”师生互动平台为载体的“世界眼、中国心”思想引领品牌建设。结合语言专业特点，凝练具有外院特色的“君子之风”品牌，着重培养具有“积文学、道礼义”的君子品格，培养学生争做“知书达礼、崇文博雅”的谦谦君子。</w:t>
      </w:r>
    </w:p>
    <w:p>
      <w:pPr>
        <w:pageBreakBefore w:val="0"/>
        <w:widowControl w:val="0"/>
        <w:numPr>
          <w:ilvl w:val="0"/>
          <w:numId w:val="6"/>
        </w:numPr>
        <w:tabs>
          <w:tab w:val="left" w:pos="6150"/>
        </w:tabs>
        <w:kinsoku/>
        <w:wordWrap/>
        <w:overflowPunct/>
        <w:topLinePunct w:val="0"/>
        <w:autoSpaceDE/>
        <w:autoSpaceDN/>
        <w:bidi w:val="0"/>
        <w:adjustRightInd w:val="0"/>
        <w:snapToGrid w:val="0"/>
        <w:spacing w:line="520" w:lineRule="exact"/>
        <w:ind w:firstLine="643" w:firstLineChars="200"/>
        <w:jc w:val="both"/>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b/>
          <w:bCs/>
          <w:color w:val="auto"/>
          <w:sz w:val="32"/>
          <w:szCs w:val="32"/>
        </w:rPr>
        <w:t>强化书香文化建设。</w:t>
      </w:r>
      <w:r>
        <w:rPr>
          <w:rFonts w:hint="eastAsia" w:ascii="方正仿宋_GB2312" w:hAnsi="方正仿宋_GB2312" w:eastAsia="方正仿宋_GB2312" w:cs="方正仿宋_GB2312"/>
          <w:color w:val="auto"/>
          <w:sz w:val="32"/>
          <w:szCs w:val="32"/>
        </w:rPr>
        <w:t>启动“书香学院”建设工程，加强休读区、图书室建设，通过举办“跟着习总书记读经典”“读书分享会”“经典诵读”等系列活动，营造“读书致远”</w:t>
      </w:r>
      <w:r>
        <w:rPr>
          <w:rFonts w:hint="eastAsia" w:ascii="方正仿宋_GB2312" w:hAnsi="方正仿宋_GB2312" w:eastAsia="方正仿宋_GB2312" w:cs="方正仿宋_GB2312"/>
          <w:color w:val="auto"/>
          <w:sz w:val="32"/>
          <w:szCs w:val="32"/>
          <w:lang w:eastAsia="zh-CN"/>
        </w:rPr>
        <w:t>的</w:t>
      </w:r>
      <w:r>
        <w:rPr>
          <w:rFonts w:hint="eastAsia" w:ascii="方正仿宋_GB2312" w:hAnsi="方正仿宋_GB2312" w:eastAsia="方正仿宋_GB2312" w:cs="方正仿宋_GB2312"/>
          <w:color w:val="auto"/>
          <w:sz w:val="32"/>
          <w:szCs w:val="32"/>
        </w:rPr>
        <w:t>浓厚氛围，不断提升学生人文素养。着力打造具有影响力的学术论坛，力争举办或承办高层次学术会议，营造浓厚的学术氛围，邀请高</w:t>
      </w:r>
      <w:r>
        <w:rPr>
          <w:rFonts w:hint="eastAsia" w:ascii="方正仿宋_GB2312" w:hAnsi="方正仿宋_GB2312" w:eastAsia="方正仿宋_GB2312" w:cs="方正仿宋_GB2312"/>
          <w:color w:val="auto"/>
          <w:sz w:val="32"/>
          <w:szCs w:val="32"/>
          <w:lang w:eastAsia="zh-CN"/>
        </w:rPr>
        <w:t>水平</w:t>
      </w:r>
      <w:r>
        <w:rPr>
          <w:rFonts w:hint="eastAsia" w:ascii="方正仿宋_GB2312" w:hAnsi="方正仿宋_GB2312" w:eastAsia="方正仿宋_GB2312" w:cs="方正仿宋_GB2312"/>
          <w:color w:val="auto"/>
          <w:sz w:val="32"/>
          <w:szCs w:val="32"/>
        </w:rPr>
        <w:t>专家教授来校来院讲座，做好中华优秀文化外译。</w:t>
      </w:r>
    </w:p>
    <w:p>
      <w:pPr>
        <w:pageBreakBefore w:val="0"/>
        <w:widowControl w:val="0"/>
        <w:numPr>
          <w:ilvl w:val="0"/>
          <w:numId w:val="6"/>
        </w:numPr>
        <w:tabs>
          <w:tab w:val="left" w:pos="6150"/>
        </w:tabs>
        <w:kinsoku/>
        <w:wordWrap/>
        <w:overflowPunct/>
        <w:topLinePunct w:val="0"/>
        <w:autoSpaceDE/>
        <w:autoSpaceDN/>
        <w:bidi w:val="0"/>
        <w:adjustRightInd w:val="0"/>
        <w:snapToGrid w:val="0"/>
        <w:spacing w:line="520" w:lineRule="exact"/>
        <w:ind w:firstLine="643" w:firstLineChars="200"/>
        <w:jc w:val="both"/>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b/>
          <w:bCs/>
          <w:color w:val="auto"/>
          <w:sz w:val="32"/>
          <w:szCs w:val="32"/>
        </w:rPr>
        <w:t>推进环境文化建设。</w:t>
      </w:r>
      <w:r>
        <w:rPr>
          <w:rFonts w:hint="eastAsia" w:ascii="方正仿宋_GB2312" w:hAnsi="方正仿宋_GB2312" w:eastAsia="方正仿宋_GB2312" w:cs="方正仿宋_GB2312"/>
          <w:color w:val="auto"/>
          <w:sz w:val="32"/>
          <w:szCs w:val="32"/>
        </w:rPr>
        <w:t>凝练学院文化特质，</w:t>
      </w:r>
      <w:r>
        <w:rPr>
          <w:rFonts w:hint="eastAsia" w:ascii="方正仿宋_GB2312" w:hAnsi="方正仿宋_GB2312" w:eastAsia="方正仿宋_GB2312" w:cs="方正仿宋_GB2312"/>
          <w:color w:val="auto"/>
          <w:sz w:val="32"/>
          <w:szCs w:val="32"/>
          <w:lang w:eastAsia="zh-CN"/>
        </w:rPr>
        <w:t>建设</w:t>
      </w:r>
      <w:r>
        <w:rPr>
          <w:rFonts w:hint="eastAsia" w:ascii="方正仿宋_GB2312" w:hAnsi="方正仿宋_GB2312" w:eastAsia="方正仿宋_GB2312" w:cs="方正仿宋_GB2312"/>
          <w:color w:val="auto"/>
          <w:sz w:val="32"/>
          <w:szCs w:val="32"/>
        </w:rPr>
        <w:t>外语特色楼宇，做好学院大厅、走廊过道文化规划和实施。推进网络文化建设，建好学院网站、学院微信公众号，传播优秀文化、讲好外院故事。</w:t>
      </w:r>
    </w:p>
    <w:p>
      <w:pPr>
        <w:pStyle w:val="3"/>
        <w:pageBreakBefore w:val="0"/>
        <w:widowControl w:val="0"/>
        <w:kinsoku/>
        <w:wordWrap/>
        <w:overflowPunct/>
        <w:topLinePunct w:val="0"/>
        <w:autoSpaceDE/>
        <w:autoSpaceDN/>
        <w:bidi w:val="0"/>
        <w:spacing w:before="0" w:after="0" w:line="520" w:lineRule="exact"/>
        <w:ind w:firstLine="643" w:firstLineChars="200"/>
        <w:jc w:val="both"/>
        <w:textAlignment w:val="auto"/>
        <w:rPr>
          <w:rFonts w:hint="eastAsia" w:ascii="楷体" w:hAnsi="楷体" w:eastAsia="楷体" w:cs="楷体"/>
          <w:b/>
          <w:color w:val="auto"/>
          <w:szCs w:val="32"/>
        </w:rPr>
      </w:pPr>
      <w:r>
        <w:rPr>
          <w:rFonts w:hint="eastAsia" w:ascii="楷体" w:hAnsi="楷体" w:eastAsia="楷体" w:cs="楷体"/>
          <w:b/>
          <w:color w:val="auto"/>
          <w:szCs w:val="32"/>
        </w:rPr>
        <w:t>（六）党建思政</w:t>
      </w:r>
    </w:p>
    <w:p>
      <w:pPr>
        <w:pageBreakBefore w:val="0"/>
        <w:widowControl w:val="0"/>
        <w:tabs>
          <w:tab w:val="left" w:pos="6150"/>
        </w:tabs>
        <w:kinsoku/>
        <w:wordWrap/>
        <w:overflowPunct/>
        <w:topLinePunct w:val="0"/>
        <w:autoSpaceDE/>
        <w:autoSpaceDN/>
        <w:bidi w:val="0"/>
        <w:adjustRightInd w:val="0"/>
        <w:snapToGrid w:val="0"/>
        <w:spacing w:line="520" w:lineRule="exact"/>
        <w:ind w:firstLine="640" w:firstLineChars="200"/>
        <w:jc w:val="both"/>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党建和思政工作是基础。坚持党的领导，推进现代大学治理体系下的二级学院建设。全面从严治党，切实加强思想政治建设，加强基层党组织建设。深入开展党风廉政工作，加强师德师风建设，营造风清气正的校园氛围。加强群团工作和统战工作，凝心聚力共谋发展。</w:t>
      </w:r>
    </w:p>
    <w:p>
      <w:pPr>
        <w:pageBreakBefore w:val="0"/>
        <w:widowControl w:val="0"/>
        <w:numPr>
          <w:ilvl w:val="0"/>
          <w:numId w:val="7"/>
        </w:numPr>
        <w:tabs>
          <w:tab w:val="left" w:pos="6150"/>
        </w:tabs>
        <w:kinsoku/>
        <w:wordWrap/>
        <w:overflowPunct/>
        <w:topLinePunct w:val="0"/>
        <w:autoSpaceDE/>
        <w:autoSpaceDN/>
        <w:bidi w:val="0"/>
        <w:adjustRightInd w:val="0"/>
        <w:snapToGrid w:val="0"/>
        <w:spacing w:line="520" w:lineRule="exact"/>
        <w:ind w:firstLine="643" w:firstLineChars="200"/>
        <w:jc w:val="both"/>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b/>
          <w:bCs/>
          <w:color w:val="auto"/>
          <w:sz w:val="32"/>
          <w:szCs w:val="32"/>
        </w:rPr>
        <w:t>坚持党委领导和民主管理。</w:t>
      </w:r>
      <w:r>
        <w:rPr>
          <w:rFonts w:hint="eastAsia" w:ascii="方正仿宋_GB2312" w:hAnsi="方正仿宋_GB2312" w:eastAsia="方正仿宋_GB2312" w:cs="方正仿宋_GB2312"/>
          <w:color w:val="auto"/>
          <w:sz w:val="32"/>
          <w:szCs w:val="32"/>
        </w:rPr>
        <w:t>以学校章程为依据，推进制度创新，完善内部治理结构，着力构建上下贯通、左右衔接、务实管用的党建制度体系。加强学院领导班子自身建设，坚持民主集中制，严格执行党政联席会、党委会议事制度，发挥各类议事机构在民主决策和民主管理中的作用。严肃党内民主生活，完善民主评议</w:t>
      </w:r>
      <w:r>
        <w:rPr>
          <w:rFonts w:hint="eastAsia" w:ascii="方正仿宋_GB2312" w:hAnsi="方正仿宋_GB2312" w:eastAsia="方正仿宋_GB2312" w:cs="方正仿宋_GB2312"/>
          <w:color w:val="auto"/>
          <w:sz w:val="32"/>
          <w:szCs w:val="32"/>
          <w:lang w:eastAsia="zh-CN"/>
        </w:rPr>
        <w:t>等</w:t>
      </w:r>
      <w:r>
        <w:rPr>
          <w:rFonts w:hint="eastAsia" w:ascii="方正仿宋_GB2312" w:hAnsi="方正仿宋_GB2312" w:eastAsia="方正仿宋_GB2312" w:cs="方正仿宋_GB2312"/>
          <w:color w:val="auto"/>
          <w:sz w:val="32"/>
          <w:szCs w:val="32"/>
        </w:rPr>
        <w:t>相关制度，推进依法治院、民主治院。</w:t>
      </w:r>
    </w:p>
    <w:p>
      <w:pPr>
        <w:pageBreakBefore w:val="0"/>
        <w:widowControl w:val="0"/>
        <w:tabs>
          <w:tab w:val="left" w:pos="6150"/>
        </w:tabs>
        <w:kinsoku/>
        <w:wordWrap/>
        <w:overflowPunct/>
        <w:topLinePunct w:val="0"/>
        <w:autoSpaceDE/>
        <w:autoSpaceDN/>
        <w:bidi w:val="0"/>
        <w:adjustRightInd w:val="0"/>
        <w:snapToGrid w:val="0"/>
        <w:spacing w:line="520" w:lineRule="exact"/>
        <w:ind w:firstLine="640" w:firstLineChars="200"/>
        <w:jc w:val="both"/>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b w:val="0"/>
          <w:bCs w:val="0"/>
          <w:color w:val="auto"/>
          <w:sz w:val="32"/>
          <w:szCs w:val="32"/>
        </w:rPr>
        <w:t xml:space="preserve">2. </w:t>
      </w:r>
      <w:r>
        <w:rPr>
          <w:rFonts w:hint="eastAsia" w:ascii="方正仿宋_GB2312" w:hAnsi="方正仿宋_GB2312" w:eastAsia="方正仿宋_GB2312" w:cs="方正仿宋_GB2312"/>
          <w:b/>
          <w:bCs/>
          <w:color w:val="auto"/>
          <w:sz w:val="32"/>
          <w:szCs w:val="32"/>
        </w:rPr>
        <w:t>加强思政和党风廉政工作。</w:t>
      </w:r>
      <w:r>
        <w:rPr>
          <w:rFonts w:hint="eastAsia" w:ascii="方正仿宋_GB2312" w:hAnsi="方正仿宋_GB2312" w:eastAsia="方正仿宋_GB2312" w:cs="方正仿宋_GB2312"/>
          <w:color w:val="auto"/>
          <w:sz w:val="32"/>
          <w:szCs w:val="32"/>
        </w:rPr>
        <w:t>切实加强意识形态工作，强化“两个维护”和“四个意识”，</w:t>
      </w:r>
      <w:r>
        <w:rPr>
          <w:rFonts w:hint="eastAsia" w:ascii="方正仿宋_GB2312" w:hAnsi="方正仿宋_GB2312" w:eastAsia="方正仿宋_GB2312" w:cs="方正仿宋_GB2312"/>
          <w:color w:val="auto"/>
          <w:sz w:val="32"/>
          <w:szCs w:val="32"/>
          <w:lang w:eastAsia="zh-CN"/>
        </w:rPr>
        <w:t>落实课程思政，加强新形势下的思政研究，</w:t>
      </w:r>
      <w:r>
        <w:rPr>
          <w:rFonts w:hint="eastAsia" w:ascii="方正仿宋_GB2312" w:hAnsi="方正仿宋_GB2312" w:eastAsia="方正仿宋_GB2312" w:cs="方正仿宋_GB2312"/>
          <w:color w:val="auto"/>
          <w:sz w:val="32"/>
          <w:szCs w:val="32"/>
        </w:rPr>
        <w:t>及时掌握师生思想动态，设计好主题宣传教育，加强思想引领，牢牢把握正确的政治方向。将立德树人根本任务落到实处，将社会主义核心价值观教育贯穿始终，依托党校、团校、主题党日团日活动等载体，构建“学习—体验—感悟—分享—践行”“五位一体”的立体循环教育体系，不断增强大学生思政教育的针对性和有效性。加强师德师风建设，完善“三全育人”工作体系，积极推进课程思政，以良好的教风带</w:t>
      </w:r>
      <w:r>
        <w:rPr>
          <w:rFonts w:hint="eastAsia" w:ascii="方正仿宋_GB2312" w:hAnsi="方正仿宋_GB2312" w:eastAsia="方正仿宋_GB2312" w:cs="方正仿宋_GB2312"/>
          <w:color w:val="auto"/>
          <w:sz w:val="32"/>
          <w:szCs w:val="32"/>
          <w:lang w:eastAsia="zh-CN"/>
        </w:rPr>
        <w:t>动</w:t>
      </w:r>
      <w:r>
        <w:rPr>
          <w:rFonts w:hint="eastAsia" w:ascii="方正仿宋_GB2312" w:hAnsi="方正仿宋_GB2312" w:eastAsia="方正仿宋_GB2312" w:cs="方正仿宋_GB2312"/>
          <w:color w:val="auto"/>
          <w:sz w:val="32"/>
          <w:szCs w:val="32"/>
        </w:rPr>
        <w:t>学风。深入贯彻执行中央“八项规定”精神和省委“六个严禁”“28条办法”等要求，落实党风廉政建设“两个责任”，推进“清廉学院”建设。</w:t>
      </w:r>
    </w:p>
    <w:p>
      <w:pPr>
        <w:pageBreakBefore w:val="0"/>
        <w:widowControl w:val="0"/>
        <w:tabs>
          <w:tab w:val="left" w:pos="6150"/>
        </w:tabs>
        <w:kinsoku/>
        <w:wordWrap/>
        <w:overflowPunct/>
        <w:topLinePunct w:val="0"/>
        <w:autoSpaceDE/>
        <w:autoSpaceDN/>
        <w:bidi w:val="0"/>
        <w:adjustRightInd w:val="0"/>
        <w:snapToGrid w:val="0"/>
        <w:spacing w:line="520" w:lineRule="exact"/>
        <w:ind w:firstLine="640" w:firstLineChars="200"/>
        <w:jc w:val="both"/>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b w:val="0"/>
          <w:bCs w:val="0"/>
          <w:color w:val="auto"/>
          <w:sz w:val="32"/>
          <w:szCs w:val="32"/>
        </w:rPr>
        <w:t xml:space="preserve">3. </w:t>
      </w:r>
      <w:r>
        <w:rPr>
          <w:rFonts w:hint="eastAsia" w:ascii="方正仿宋_GB2312" w:hAnsi="方正仿宋_GB2312" w:eastAsia="方正仿宋_GB2312" w:cs="方正仿宋_GB2312"/>
          <w:b/>
          <w:bCs/>
          <w:color w:val="auto"/>
          <w:sz w:val="32"/>
          <w:szCs w:val="32"/>
        </w:rPr>
        <w:t>强化基层组织和队伍建设。</w:t>
      </w:r>
      <w:r>
        <w:rPr>
          <w:rFonts w:hint="eastAsia" w:ascii="方正仿宋_GB2312" w:hAnsi="方正仿宋_GB2312" w:eastAsia="方正仿宋_GB2312" w:cs="方正仿宋_GB2312"/>
          <w:color w:val="auto"/>
          <w:sz w:val="32"/>
          <w:szCs w:val="32"/>
        </w:rPr>
        <w:t>落实“三会一课”要求，扎实推进基层党支部标准化建设，探索学科、专业、支部“三位一体”以及师生联合党支部等党建新模式。加强学院中层和科级干部队伍建设，健全考核办法，完善能上能下的干部任用机制，加大后备干部培养力度，锻造高素质专业化的干部队伍。</w:t>
      </w:r>
    </w:p>
    <w:p>
      <w:pPr>
        <w:pageBreakBefore w:val="0"/>
        <w:widowControl w:val="0"/>
        <w:tabs>
          <w:tab w:val="left" w:pos="6150"/>
        </w:tabs>
        <w:kinsoku/>
        <w:wordWrap/>
        <w:overflowPunct/>
        <w:topLinePunct w:val="0"/>
        <w:autoSpaceDE/>
        <w:autoSpaceDN/>
        <w:bidi w:val="0"/>
        <w:adjustRightInd w:val="0"/>
        <w:snapToGrid w:val="0"/>
        <w:spacing w:line="520" w:lineRule="exact"/>
        <w:ind w:firstLine="640" w:firstLineChars="200"/>
        <w:jc w:val="both"/>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b w:val="0"/>
          <w:bCs w:val="0"/>
          <w:color w:val="auto"/>
          <w:sz w:val="32"/>
          <w:szCs w:val="32"/>
        </w:rPr>
        <w:t xml:space="preserve">4. </w:t>
      </w:r>
      <w:r>
        <w:rPr>
          <w:rFonts w:hint="eastAsia" w:ascii="方正仿宋_GB2312" w:hAnsi="方正仿宋_GB2312" w:eastAsia="方正仿宋_GB2312" w:cs="方正仿宋_GB2312"/>
          <w:b/>
          <w:bCs/>
          <w:color w:val="auto"/>
          <w:sz w:val="32"/>
          <w:szCs w:val="32"/>
        </w:rPr>
        <w:t>加强统战和群团工作。</w:t>
      </w:r>
      <w:r>
        <w:rPr>
          <w:rFonts w:hint="eastAsia" w:ascii="方正仿宋_GB2312" w:hAnsi="方正仿宋_GB2312" w:eastAsia="方正仿宋_GB2312" w:cs="方正仿宋_GB2312"/>
          <w:color w:val="auto"/>
          <w:sz w:val="32"/>
          <w:szCs w:val="32"/>
          <w:lang w:eastAsia="zh-CN"/>
        </w:rPr>
        <w:t>坚</w:t>
      </w:r>
      <w:r>
        <w:rPr>
          <w:rFonts w:hint="eastAsia" w:ascii="方正仿宋_GB2312" w:hAnsi="方正仿宋_GB2312" w:eastAsia="方正仿宋_GB2312" w:cs="方正仿宋_GB2312"/>
          <w:color w:val="auto"/>
          <w:sz w:val="32"/>
          <w:szCs w:val="32"/>
        </w:rPr>
        <w:t>持民主管理和民主监督</w:t>
      </w:r>
      <w:r>
        <w:rPr>
          <w:rFonts w:hint="eastAsia" w:ascii="方正仿宋_GB2312" w:hAnsi="方正仿宋_GB2312" w:eastAsia="方正仿宋_GB2312" w:cs="方正仿宋_GB2312"/>
          <w:color w:val="auto"/>
          <w:sz w:val="32"/>
          <w:szCs w:val="32"/>
          <w:lang w:eastAsia="zh-CN"/>
        </w:rPr>
        <w:t>，支持</w:t>
      </w:r>
      <w:r>
        <w:rPr>
          <w:rFonts w:hint="eastAsia" w:ascii="方正仿宋_GB2312" w:hAnsi="方正仿宋_GB2312" w:eastAsia="方正仿宋_GB2312" w:cs="方正仿宋_GB2312"/>
          <w:color w:val="auto"/>
          <w:sz w:val="32"/>
          <w:szCs w:val="32"/>
        </w:rPr>
        <w:t>民主党派、统战团体和党外知识分子参与学院</w:t>
      </w:r>
      <w:r>
        <w:rPr>
          <w:rFonts w:hint="eastAsia" w:ascii="方正仿宋_GB2312" w:hAnsi="方正仿宋_GB2312" w:eastAsia="方正仿宋_GB2312" w:cs="方正仿宋_GB2312"/>
          <w:color w:val="auto"/>
          <w:sz w:val="32"/>
          <w:szCs w:val="32"/>
          <w:lang w:eastAsia="zh-CN"/>
        </w:rPr>
        <w:t>工作。</w:t>
      </w:r>
      <w:r>
        <w:rPr>
          <w:rFonts w:hint="eastAsia" w:ascii="方正仿宋_GB2312" w:hAnsi="方正仿宋_GB2312" w:eastAsia="方正仿宋_GB2312" w:cs="方正仿宋_GB2312"/>
          <w:color w:val="auto"/>
          <w:sz w:val="32"/>
          <w:szCs w:val="32"/>
        </w:rPr>
        <w:t>落实各项统战工作制度，努力培养和扩大党外代表人士队伍。加强对分工会、分团委、学生会等群众组织的领导，推进党建带团建、工会暖人心</w:t>
      </w:r>
      <w:r>
        <w:rPr>
          <w:rFonts w:hint="eastAsia" w:ascii="方正仿宋_GB2312" w:hAnsi="方正仿宋_GB2312" w:eastAsia="方正仿宋_GB2312" w:cs="方正仿宋_GB2312"/>
          <w:color w:val="auto"/>
          <w:sz w:val="32"/>
          <w:szCs w:val="32"/>
          <w:lang w:eastAsia="zh-CN"/>
        </w:rPr>
        <w:t>工作</w:t>
      </w:r>
      <w:r>
        <w:rPr>
          <w:rFonts w:hint="eastAsia" w:ascii="方正仿宋_GB2312" w:hAnsi="方正仿宋_GB2312" w:eastAsia="方正仿宋_GB2312" w:cs="方正仿宋_GB2312"/>
          <w:color w:val="auto"/>
          <w:sz w:val="32"/>
          <w:szCs w:val="32"/>
        </w:rPr>
        <w:t>。发挥教代会在学院民主管理中的作用。加大对教师的人文关怀力度，推进和谐</w:t>
      </w:r>
      <w:r>
        <w:rPr>
          <w:rFonts w:hint="eastAsia" w:ascii="方正仿宋_GB2312" w:hAnsi="方正仿宋_GB2312" w:eastAsia="方正仿宋_GB2312" w:cs="方正仿宋_GB2312"/>
          <w:color w:val="auto"/>
          <w:sz w:val="32"/>
          <w:szCs w:val="32"/>
          <w:lang w:eastAsia="zh-CN"/>
        </w:rPr>
        <w:t>外</w:t>
      </w:r>
      <w:r>
        <w:rPr>
          <w:rFonts w:hint="eastAsia" w:ascii="方正仿宋_GB2312" w:hAnsi="方正仿宋_GB2312" w:eastAsia="方正仿宋_GB2312" w:cs="方正仿宋_GB2312"/>
          <w:color w:val="auto"/>
          <w:sz w:val="32"/>
          <w:szCs w:val="32"/>
        </w:rPr>
        <w:t>院、幸福外院建设。</w:t>
      </w:r>
    </w:p>
    <w:p>
      <w:pPr>
        <w:keepNext w:val="0"/>
        <w:keepLines w:val="0"/>
        <w:pageBreakBefore w:val="0"/>
        <w:widowControl w:val="0"/>
        <w:tabs>
          <w:tab w:val="left" w:pos="6150"/>
        </w:tabs>
        <w:kinsoku/>
        <w:wordWrap/>
        <w:overflowPunct/>
        <w:topLinePunct w:val="0"/>
        <w:autoSpaceDE/>
        <w:autoSpaceDN/>
        <w:bidi w:val="0"/>
        <w:adjustRightInd w:val="0"/>
        <w:snapToGrid w:val="0"/>
        <w:spacing w:line="520" w:lineRule="exact"/>
        <w:ind w:firstLine="640" w:firstLineChars="200"/>
        <w:jc w:val="both"/>
        <w:textAlignment w:val="auto"/>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rPr>
        <w:t>五、保障措施</w:t>
      </w:r>
    </w:p>
    <w:p>
      <w:pPr>
        <w:keepNext w:val="0"/>
        <w:keepLines w:val="0"/>
        <w:pageBreakBefore w:val="0"/>
        <w:widowControl w:val="0"/>
        <w:kinsoku/>
        <w:wordWrap/>
        <w:overflowPunct/>
        <w:topLinePunct w:val="0"/>
        <w:autoSpaceDE/>
        <w:autoSpaceDN/>
        <w:bidi w:val="0"/>
        <w:spacing w:line="520" w:lineRule="exact"/>
        <w:ind w:firstLine="640" w:firstLineChars="200"/>
        <w:jc w:val="both"/>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围绕发展目标，落实各项改革和发展举措，促进学院和谐发展。</w:t>
      </w:r>
    </w:p>
    <w:p>
      <w:pPr>
        <w:keepNext w:val="0"/>
        <w:keepLines w:val="0"/>
        <w:pageBreakBefore w:val="0"/>
        <w:widowControl w:val="0"/>
        <w:kinsoku/>
        <w:wordWrap/>
        <w:overflowPunct/>
        <w:topLinePunct w:val="0"/>
        <w:autoSpaceDE/>
        <w:autoSpaceDN/>
        <w:bidi w:val="0"/>
        <w:spacing w:line="520" w:lineRule="exact"/>
        <w:ind w:firstLine="643" w:firstLineChars="200"/>
        <w:jc w:val="both"/>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b/>
          <w:bCs/>
          <w:color w:val="auto"/>
          <w:sz w:val="32"/>
          <w:szCs w:val="32"/>
          <w:lang w:val="en-US" w:eastAsia="zh-CN"/>
        </w:rPr>
        <w:t>（一）思想保障。</w:t>
      </w:r>
      <w:r>
        <w:rPr>
          <w:rFonts w:hint="eastAsia" w:ascii="方正仿宋_GB2312" w:hAnsi="方正仿宋_GB2312" w:eastAsia="方正仿宋_GB2312" w:cs="方正仿宋_GB2312"/>
          <w:color w:val="auto"/>
          <w:sz w:val="32"/>
          <w:szCs w:val="32"/>
        </w:rPr>
        <w:t>加强党建，推进党的思想、组织、作风、制度建设。坚持社会主义办学方向、坚持立德树人，坚持把思想政治工作贯穿教育管理全过程。</w:t>
      </w:r>
    </w:p>
    <w:p>
      <w:pPr>
        <w:keepNext w:val="0"/>
        <w:keepLines w:val="0"/>
        <w:pageBreakBefore w:val="0"/>
        <w:widowControl w:val="0"/>
        <w:kinsoku/>
        <w:wordWrap/>
        <w:overflowPunct/>
        <w:topLinePunct w:val="0"/>
        <w:autoSpaceDE/>
        <w:autoSpaceDN/>
        <w:bidi w:val="0"/>
        <w:spacing w:line="520" w:lineRule="exact"/>
        <w:ind w:firstLine="643" w:firstLineChars="200"/>
        <w:jc w:val="both"/>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b/>
          <w:bCs/>
          <w:color w:val="auto"/>
          <w:sz w:val="32"/>
          <w:szCs w:val="32"/>
        </w:rPr>
        <w:t>（二）制度保障。</w:t>
      </w:r>
      <w:r>
        <w:rPr>
          <w:rFonts w:hint="eastAsia" w:ascii="方正仿宋_GB2312" w:hAnsi="方正仿宋_GB2312" w:eastAsia="方正仿宋_GB2312" w:cs="方正仿宋_GB2312"/>
          <w:color w:val="auto"/>
          <w:sz w:val="32"/>
          <w:szCs w:val="32"/>
        </w:rPr>
        <w:t>完善各项管理制度，全面加强依法治院。落实党政联席会议事制度，把法治理念落实到学院日常管理之中，完善依法决策机制。</w:t>
      </w:r>
    </w:p>
    <w:p>
      <w:pPr>
        <w:keepNext w:val="0"/>
        <w:keepLines w:val="0"/>
        <w:pageBreakBefore w:val="0"/>
        <w:widowControl w:val="0"/>
        <w:kinsoku/>
        <w:wordWrap/>
        <w:overflowPunct/>
        <w:topLinePunct w:val="0"/>
        <w:autoSpaceDE/>
        <w:autoSpaceDN/>
        <w:bidi w:val="0"/>
        <w:spacing w:line="520" w:lineRule="exact"/>
        <w:ind w:firstLine="643" w:firstLineChars="200"/>
        <w:jc w:val="both"/>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b/>
          <w:bCs/>
          <w:color w:val="auto"/>
          <w:sz w:val="32"/>
          <w:szCs w:val="32"/>
        </w:rPr>
        <w:t>（三）资源保障。</w:t>
      </w:r>
      <w:r>
        <w:rPr>
          <w:rFonts w:hint="eastAsia" w:ascii="方正仿宋_GB2312" w:hAnsi="方正仿宋_GB2312" w:eastAsia="方正仿宋_GB2312" w:cs="方正仿宋_GB2312"/>
          <w:color w:val="auto"/>
          <w:sz w:val="32"/>
          <w:szCs w:val="32"/>
        </w:rPr>
        <w:t>做好各类专项资金的申报工作，争取更多经费支持，改善教学科研条件。构建学院与校友发展命运共同体，加强校友联络，增强校友服务，支持校友发展，凝聚校友资源力量。加强与政府、企事业单位和社会团体的合作，探索优势互补、资源共享、互利共赢的共建模式。</w:t>
      </w:r>
    </w:p>
    <w:p>
      <w:pPr>
        <w:keepNext w:val="0"/>
        <w:keepLines w:val="0"/>
        <w:pageBreakBefore w:val="0"/>
        <w:widowControl w:val="0"/>
        <w:kinsoku/>
        <w:wordWrap/>
        <w:overflowPunct/>
        <w:topLinePunct w:val="0"/>
        <w:autoSpaceDE/>
        <w:autoSpaceDN/>
        <w:bidi w:val="0"/>
        <w:spacing w:line="520" w:lineRule="exact"/>
        <w:ind w:firstLine="643" w:firstLineChars="200"/>
        <w:jc w:val="both"/>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b/>
          <w:bCs/>
          <w:color w:val="auto"/>
          <w:sz w:val="32"/>
          <w:szCs w:val="32"/>
        </w:rPr>
        <w:t>（四）团队</w:t>
      </w:r>
      <w:r>
        <w:rPr>
          <w:rFonts w:hint="eastAsia" w:ascii="方正仿宋_GB2312" w:hAnsi="方正仿宋_GB2312" w:eastAsia="方正仿宋_GB2312" w:cs="方正仿宋_GB2312"/>
          <w:b/>
          <w:bCs/>
          <w:color w:val="auto"/>
          <w:sz w:val="32"/>
          <w:szCs w:val="32"/>
          <w:lang w:eastAsia="zh-CN"/>
        </w:rPr>
        <w:t>保障</w:t>
      </w:r>
      <w:r>
        <w:rPr>
          <w:rFonts w:hint="eastAsia" w:ascii="方正仿宋_GB2312" w:hAnsi="方正仿宋_GB2312" w:eastAsia="方正仿宋_GB2312" w:cs="方正仿宋_GB2312"/>
          <w:b/>
          <w:bCs/>
          <w:color w:val="auto"/>
          <w:sz w:val="32"/>
          <w:szCs w:val="32"/>
        </w:rPr>
        <w:t>。</w:t>
      </w:r>
      <w:r>
        <w:rPr>
          <w:rFonts w:hint="eastAsia" w:ascii="方正仿宋_GB2312" w:hAnsi="方正仿宋_GB2312" w:eastAsia="方正仿宋_GB2312" w:cs="方正仿宋_GB2312"/>
          <w:color w:val="auto"/>
          <w:sz w:val="32"/>
          <w:szCs w:val="32"/>
        </w:rPr>
        <w:t>组建优秀教学科研团队，提升教学科研水平。建立健全新时代二级学院治理结构，加强干部队伍建设，建立一支适应外国语学院建设需要的优秀管理团队。</w:t>
      </w:r>
    </w:p>
    <w:p>
      <w:pPr>
        <w:keepNext w:val="0"/>
        <w:keepLines w:val="0"/>
        <w:pageBreakBefore w:val="0"/>
        <w:widowControl w:val="0"/>
        <w:kinsoku/>
        <w:wordWrap/>
        <w:overflowPunct/>
        <w:topLinePunct w:val="0"/>
        <w:autoSpaceDE/>
        <w:autoSpaceDN/>
        <w:bidi w:val="0"/>
        <w:spacing w:line="520" w:lineRule="exact"/>
        <w:ind w:firstLine="643" w:firstLineChars="200"/>
        <w:jc w:val="both"/>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b/>
          <w:bCs/>
          <w:color w:val="auto"/>
          <w:sz w:val="32"/>
          <w:szCs w:val="32"/>
        </w:rPr>
        <w:t>（五）氛围</w:t>
      </w:r>
      <w:r>
        <w:rPr>
          <w:rFonts w:hint="eastAsia" w:ascii="方正仿宋_GB2312" w:hAnsi="方正仿宋_GB2312" w:eastAsia="方正仿宋_GB2312" w:cs="方正仿宋_GB2312"/>
          <w:b/>
          <w:bCs/>
          <w:color w:val="auto"/>
          <w:sz w:val="32"/>
          <w:szCs w:val="32"/>
          <w:lang w:eastAsia="zh-CN"/>
        </w:rPr>
        <w:t>保障</w:t>
      </w:r>
      <w:r>
        <w:rPr>
          <w:rFonts w:hint="eastAsia" w:ascii="方正仿宋_GB2312" w:hAnsi="方正仿宋_GB2312" w:eastAsia="方正仿宋_GB2312" w:cs="方正仿宋_GB2312"/>
          <w:b/>
          <w:bCs/>
          <w:color w:val="auto"/>
          <w:sz w:val="32"/>
          <w:szCs w:val="32"/>
        </w:rPr>
        <w:t>。</w:t>
      </w:r>
      <w:r>
        <w:rPr>
          <w:rFonts w:hint="eastAsia" w:ascii="方正仿宋_GB2312" w:hAnsi="方正仿宋_GB2312" w:eastAsia="方正仿宋_GB2312" w:cs="方正仿宋_GB2312"/>
          <w:color w:val="auto"/>
          <w:sz w:val="32"/>
          <w:szCs w:val="32"/>
        </w:rPr>
        <w:t>培育和践行社会主义核心价值观，营造良好的教学与学术氛围，建设校园文化，为事业可持续发展提供精神动力。</w:t>
      </w:r>
    </w:p>
    <w:p>
      <w:pPr>
        <w:keepNext w:val="0"/>
        <w:keepLines w:val="0"/>
        <w:pageBreakBefore w:val="0"/>
        <w:widowControl w:val="0"/>
        <w:kinsoku/>
        <w:wordWrap/>
        <w:overflowPunct/>
        <w:topLinePunct w:val="0"/>
        <w:autoSpaceDE/>
        <w:autoSpaceDN/>
        <w:bidi w:val="0"/>
        <w:spacing w:line="520" w:lineRule="exact"/>
        <w:ind w:firstLine="640" w:firstLineChars="200"/>
        <w:jc w:val="both"/>
        <w:textAlignment w:val="auto"/>
        <w:rPr>
          <w:rFonts w:hint="eastAsia" w:ascii="华文仿宋" w:hAnsi="华文仿宋" w:eastAsia="华文仿宋" w:cs="宋体"/>
          <w:kern w:val="0"/>
          <w:sz w:val="30"/>
          <w:szCs w:val="30"/>
          <w:lang w:eastAsia="zh-CN"/>
        </w:rPr>
      </w:pPr>
      <w:r>
        <w:rPr>
          <w:rFonts w:hint="eastAsia" w:ascii="方正仿宋_GB2312" w:hAnsi="方正仿宋_GB2312" w:eastAsia="方正仿宋_GB2312" w:cs="方正仿宋_GB2312"/>
          <w:color w:val="auto"/>
          <w:sz w:val="32"/>
          <w:szCs w:val="32"/>
        </w:rPr>
        <w:t>我们坚信，经过五年的发展，外国语学院一定能</w:t>
      </w:r>
      <w:r>
        <w:rPr>
          <w:rFonts w:hint="eastAsia" w:ascii="方正仿宋_GB2312" w:hAnsi="方正仿宋_GB2312" w:eastAsia="方正仿宋_GB2312" w:cs="方正仿宋_GB2312"/>
          <w:color w:val="auto"/>
          <w:sz w:val="32"/>
          <w:szCs w:val="32"/>
          <w:lang w:eastAsia="zh-CN"/>
        </w:rPr>
        <w:t>建</w:t>
      </w:r>
      <w:r>
        <w:rPr>
          <w:rFonts w:hint="eastAsia" w:ascii="方正仿宋_GB2312" w:hAnsi="方正仿宋_GB2312" w:eastAsia="方正仿宋_GB2312" w:cs="方正仿宋_GB2312"/>
          <w:color w:val="auto"/>
          <w:sz w:val="32"/>
          <w:szCs w:val="32"/>
        </w:rPr>
        <w:t>成管理严格、教学规范、学养深厚、效益显著、具有明显专业优势和鲜明</w:t>
      </w:r>
      <w:r>
        <w:rPr>
          <w:rFonts w:hint="eastAsia" w:ascii="方正仿宋_GB2312" w:hAnsi="方正仿宋_GB2312" w:eastAsia="方正仿宋_GB2312" w:cs="方正仿宋_GB2312"/>
          <w:color w:val="auto"/>
          <w:sz w:val="32"/>
          <w:szCs w:val="32"/>
          <w:lang w:eastAsia="zh-CN"/>
        </w:rPr>
        <w:t>学科</w:t>
      </w:r>
      <w:r>
        <w:rPr>
          <w:rFonts w:hint="eastAsia" w:ascii="方正仿宋_GB2312" w:hAnsi="方正仿宋_GB2312" w:eastAsia="方正仿宋_GB2312" w:cs="方正仿宋_GB2312"/>
          <w:color w:val="auto"/>
          <w:sz w:val="32"/>
          <w:szCs w:val="32"/>
        </w:rPr>
        <w:t>特色的外语教学和科研实体，成为学校开展中外文化交流的重要窗口。</w:t>
      </w:r>
      <w:bookmarkEnd w:id="11"/>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kern w:val="0"/>
          <w:sz w:val="32"/>
          <w:szCs w:val="32"/>
        </w:rPr>
      </w:pP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kern w:val="0"/>
          <w:sz w:val="32"/>
          <w:szCs w:val="32"/>
        </w:rPr>
      </w:pP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kern w:val="0"/>
          <w:sz w:val="32"/>
          <w:szCs w:val="32"/>
        </w:rPr>
      </w:pP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kern w:val="0"/>
          <w:sz w:val="32"/>
          <w:szCs w:val="32"/>
        </w:rPr>
      </w:pP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kern w:val="0"/>
          <w:sz w:val="32"/>
          <w:szCs w:val="32"/>
        </w:rPr>
      </w:pP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kern w:val="0"/>
          <w:sz w:val="32"/>
          <w:szCs w:val="32"/>
        </w:rPr>
      </w:pP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kern w:val="0"/>
          <w:sz w:val="32"/>
          <w:szCs w:val="32"/>
        </w:rPr>
      </w:pP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kern w:val="0"/>
          <w:sz w:val="32"/>
          <w:szCs w:val="32"/>
        </w:rPr>
      </w:pP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sz w:val="32"/>
          <w:szCs w:val="32"/>
          <w:u w:val="single"/>
        </w:rPr>
      </w:pP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sz w:val="32"/>
          <w:szCs w:val="32"/>
          <w:u w:val="single"/>
        </w:rPr>
      </w:pP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sz w:val="32"/>
          <w:szCs w:val="32"/>
          <w:u w:val="single"/>
        </w:rPr>
      </w:pP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sz w:val="32"/>
          <w:szCs w:val="32"/>
          <w:u w:val="single"/>
        </w:rPr>
      </w:pP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sz w:val="32"/>
          <w:szCs w:val="32"/>
          <w:u w:val="single"/>
        </w:rPr>
      </w:pP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sz w:val="32"/>
          <w:szCs w:val="32"/>
          <w:u w:val="single"/>
        </w:rPr>
      </w:pP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sz w:val="32"/>
          <w:szCs w:val="32"/>
          <w:u w:val="single"/>
        </w:rPr>
      </w:pP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sz w:val="32"/>
          <w:szCs w:val="32"/>
          <w:u w:val="single"/>
        </w:rPr>
      </w:pP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sz w:val="32"/>
          <w:szCs w:val="32"/>
          <w:u w:val="single"/>
        </w:rPr>
      </w:pP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sz w:val="32"/>
          <w:szCs w:val="32"/>
          <w:u w:val="single"/>
        </w:rPr>
      </w:pP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sz w:val="32"/>
          <w:szCs w:val="32"/>
          <w:u w:val="single"/>
        </w:rPr>
      </w:pP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sz w:val="32"/>
          <w:szCs w:val="32"/>
          <w:u w:val="single"/>
        </w:rPr>
      </w:pP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sz w:val="32"/>
          <w:szCs w:val="32"/>
          <w:u w:val="single"/>
        </w:rPr>
      </w:pP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sz w:val="32"/>
          <w:szCs w:val="32"/>
          <w:u w:val="single"/>
        </w:rPr>
      </w:pPr>
    </w:p>
    <w:p>
      <w:pPr>
        <w:rPr>
          <w:rFonts w:hint="default" w:ascii="仿宋_GB2312" w:eastAsia="仿宋_GB2312"/>
          <w:sz w:val="32"/>
          <w:szCs w:val="32"/>
          <w:u w:val="single"/>
          <w:lang w:val="en-US" w:eastAsia="zh-CN"/>
        </w:rPr>
      </w:pPr>
      <w:r>
        <w:rPr>
          <w:rFonts w:ascii="仿宋_GB2312" w:eastAsia="仿宋_GB2312"/>
          <w:sz w:val="32"/>
          <w:szCs w:val="32"/>
          <w:u w:val="single"/>
        </w:rPr>
        <w:t xml:space="preserve">                               </w:t>
      </w:r>
      <w:r>
        <w:rPr>
          <w:rFonts w:hint="eastAsia" w:ascii="仿宋_GB2312" w:eastAsia="仿宋_GB2312"/>
          <w:sz w:val="32"/>
          <w:szCs w:val="32"/>
          <w:u w:val="single"/>
          <w:lang w:val="en-US" w:eastAsia="zh-CN"/>
        </w:rPr>
        <w:t xml:space="preserve">  </w:t>
      </w:r>
      <w:r>
        <w:rPr>
          <w:rFonts w:ascii="仿宋_GB2312" w:eastAsia="仿宋_GB2312"/>
          <w:sz w:val="32"/>
          <w:szCs w:val="32"/>
          <w:u w:val="single"/>
        </w:rPr>
        <w:t xml:space="preserve">               </w:t>
      </w:r>
      <w:r>
        <w:rPr>
          <w:rFonts w:hint="eastAsia" w:ascii="仿宋_GB2312" w:eastAsia="仿宋_GB2312"/>
          <w:sz w:val="32"/>
          <w:szCs w:val="32"/>
          <w:u w:val="single"/>
          <w:lang w:val="en-US" w:eastAsia="zh-CN"/>
        </w:rPr>
        <w:t xml:space="preserve">  </w:t>
      </w:r>
      <w:r>
        <w:rPr>
          <w:rFonts w:ascii="仿宋_GB2312" w:eastAsia="仿宋_GB2312"/>
          <w:sz w:val="32"/>
          <w:szCs w:val="32"/>
          <w:u w:val="single"/>
        </w:rPr>
        <w:t xml:space="preserve">  </w:t>
      </w:r>
      <w:r>
        <w:rPr>
          <w:rFonts w:hint="eastAsia" w:ascii="仿宋_GB2312" w:eastAsia="仿宋_GB2312"/>
          <w:sz w:val="32"/>
          <w:szCs w:val="32"/>
          <w:u w:val="single"/>
          <w:lang w:val="en-US" w:eastAsia="zh-CN"/>
        </w:rPr>
        <w:t xml:space="preserve">   </w:t>
      </w:r>
    </w:p>
    <w:p>
      <w:pPr>
        <w:spacing w:line="560" w:lineRule="exact"/>
        <w:rPr>
          <w:rFonts w:ascii="华文仿宋" w:hAnsi="华文仿宋" w:eastAsia="华文仿宋" w:cs="宋体"/>
          <w:kern w:val="0"/>
          <w:sz w:val="30"/>
          <w:szCs w:val="30"/>
        </w:rPr>
      </w:pPr>
      <w:r>
        <w:rPr>
          <w:rFonts w:ascii="仿宋_GB2312" w:eastAsia="仿宋_GB2312"/>
          <w:sz w:val="32"/>
          <w:szCs w:val="32"/>
          <w:u w:val="single"/>
        </w:rPr>
        <w:t xml:space="preserve"> </w:t>
      </w:r>
      <w:r>
        <w:rPr>
          <w:rFonts w:hint="eastAsia" w:ascii="仿宋" w:hAnsi="仿宋" w:eastAsia="仿宋" w:cs="仿宋"/>
          <w:sz w:val="32"/>
          <w:szCs w:val="32"/>
          <w:u w:val="single"/>
          <w:lang w:eastAsia="zh-CN"/>
        </w:rPr>
        <w:t>中共</w:t>
      </w:r>
      <w:r>
        <w:rPr>
          <w:rFonts w:hint="eastAsia" w:ascii="仿宋" w:hAnsi="仿宋" w:eastAsia="仿宋" w:cs="仿宋"/>
          <w:sz w:val="28"/>
          <w:szCs w:val="28"/>
          <w:u w:val="single"/>
        </w:rPr>
        <w:t>湖州师范学院外国语学院</w:t>
      </w:r>
      <w:r>
        <w:rPr>
          <w:rFonts w:hint="eastAsia" w:ascii="仿宋" w:hAnsi="仿宋" w:eastAsia="仿宋" w:cs="仿宋"/>
          <w:sz w:val="28"/>
          <w:szCs w:val="28"/>
          <w:u w:val="single"/>
          <w:lang w:eastAsia="zh-CN"/>
        </w:rPr>
        <w:t>委员会</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u w:val="single"/>
        </w:rPr>
        <w:t>20</w:t>
      </w:r>
      <w:r>
        <w:rPr>
          <w:rFonts w:hint="eastAsia" w:ascii="仿宋" w:hAnsi="仿宋" w:eastAsia="仿宋" w:cs="仿宋"/>
          <w:sz w:val="28"/>
          <w:szCs w:val="28"/>
          <w:u w:val="single"/>
          <w:lang w:val="en-US" w:eastAsia="zh-CN"/>
        </w:rPr>
        <w:t>22</w:t>
      </w:r>
      <w:r>
        <w:rPr>
          <w:rFonts w:hint="eastAsia" w:ascii="仿宋" w:hAnsi="仿宋" w:eastAsia="仿宋" w:cs="仿宋"/>
          <w:sz w:val="28"/>
          <w:szCs w:val="28"/>
          <w:u w:val="single"/>
        </w:rPr>
        <w:t>年</w:t>
      </w:r>
      <w:r>
        <w:rPr>
          <w:rFonts w:hint="eastAsia" w:ascii="仿宋" w:hAnsi="仿宋" w:eastAsia="仿宋" w:cs="仿宋"/>
          <w:sz w:val="28"/>
          <w:szCs w:val="28"/>
          <w:u w:val="single"/>
          <w:lang w:val="en-US" w:eastAsia="zh-CN"/>
        </w:rPr>
        <w:t>1</w:t>
      </w:r>
      <w:r>
        <w:rPr>
          <w:rFonts w:hint="eastAsia" w:ascii="仿宋" w:hAnsi="仿宋" w:eastAsia="仿宋" w:cs="仿宋"/>
          <w:sz w:val="28"/>
          <w:szCs w:val="28"/>
          <w:u w:val="single"/>
        </w:rPr>
        <w:t>月</w:t>
      </w:r>
      <w:r>
        <w:rPr>
          <w:rFonts w:hint="eastAsia" w:ascii="仿宋" w:hAnsi="仿宋" w:eastAsia="仿宋" w:cs="仿宋"/>
          <w:sz w:val="28"/>
          <w:szCs w:val="28"/>
          <w:u w:val="single"/>
          <w:lang w:val="en-US" w:eastAsia="zh-CN"/>
        </w:rPr>
        <w:t>18</w:t>
      </w:r>
      <w:r>
        <w:rPr>
          <w:rFonts w:hint="eastAsia" w:ascii="仿宋" w:hAnsi="仿宋" w:eastAsia="仿宋" w:cs="仿宋"/>
          <w:sz w:val="28"/>
          <w:szCs w:val="28"/>
          <w:u w:val="single"/>
        </w:rPr>
        <w:t>日</w:t>
      </w:r>
      <w:r>
        <w:rPr>
          <w:rFonts w:hint="eastAsia" w:ascii="仿宋" w:hAnsi="仿宋" w:eastAsia="仿宋" w:cs="仿宋"/>
          <w:sz w:val="28"/>
          <w:szCs w:val="28"/>
          <w:u w:val="single"/>
          <w:lang w:val="en-US" w:eastAsia="zh-CN"/>
        </w:rPr>
        <w:t>印发</w:t>
      </w:r>
      <w:r>
        <w:rPr>
          <w:rFonts w:ascii="仿宋_GB2312" w:eastAsia="仿宋_GB2312"/>
          <w:sz w:val="32"/>
          <w:szCs w:val="32"/>
          <w:u w:val="single"/>
        </w:rPr>
        <w:t xml:space="preserve"> </w:t>
      </w:r>
      <w:r>
        <w:rPr>
          <w:rFonts w:hint="eastAsia" w:ascii="仿宋_GB2312" w:eastAsia="仿宋_GB2312"/>
          <w:sz w:val="32"/>
          <w:szCs w:val="32"/>
          <w:u w:val="single"/>
          <w:lang w:val="en-US" w:eastAsia="zh-CN"/>
        </w:rPr>
        <w:t xml:space="preserve">   </w:t>
      </w:r>
    </w:p>
    <w:sectPr>
      <w:footerReference r:id="rId3" w:type="default"/>
      <w:pgSz w:w="11906" w:h="16838"/>
      <w:pgMar w:top="1587" w:right="1531" w:bottom="1587" w:left="1531"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auto"/>
    <w:pitch w:val="default"/>
    <w:sig w:usb0="800002BF" w:usb1="38CF7CFA" w:usb2="00000016" w:usb3="00000000" w:csb0="00040001" w:csb1="00000000"/>
  </w:font>
  <w:font w:name="方正仿宋_GB2312">
    <w:altName w:val="仿宋"/>
    <w:panose1 w:val="02000000000000000000"/>
    <w:charset w:val="86"/>
    <w:family w:val="auto"/>
    <w:pitch w:val="default"/>
    <w:sig w:usb0="00000000" w:usb1="00000000" w:usb2="00000012"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方正小标宋_GBK">
    <w:altName w:val="微软雅黑"/>
    <w:panose1 w:val="02000000000000000000"/>
    <w:charset w:val="86"/>
    <w:family w:val="auto"/>
    <w:pitch w:val="default"/>
    <w:sig w:usb0="00000000" w:usb1="00000000" w:usb2="00082016" w:usb3="00000000" w:csb0="00040001" w:csb1="00000000"/>
  </w:font>
  <w:font w:name="微软雅黑">
    <w:panose1 w:val="020B0503020204020204"/>
    <w:charset w:val="86"/>
    <w:family w:val="auto"/>
    <w:pitch w:val="default"/>
    <w:sig w:usb0="80000287" w:usb1="2ACF3C50" w:usb2="00000016" w:usb3="00000000" w:csb0="0004001F" w:csb1="00000000"/>
  </w:font>
  <w:font w:name="华文仿宋">
    <w:panose1 w:val="02010600040101010101"/>
    <w:charset w:val="86"/>
    <w:family w:val="auto"/>
    <w:pitch w:val="default"/>
    <w:sig w:usb0="00000287" w:usb1="080F0000" w:usb2="00000000" w:usb3="00000000" w:csb0="0004009F" w:csb1="DFD70000"/>
  </w:font>
  <w:font w:name="楷体">
    <w:panose1 w:val="02010609060101010101"/>
    <w:charset w:val="86"/>
    <w:family w:val="modern"/>
    <w:pitch w:val="default"/>
    <w:sig w:usb0="800002BF" w:usb1="38CF7CFA" w:usb2="00000016" w:usb3="00000000" w:csb0="00040001" w:csb1="00000000"/>
  </w:font>
  <w:font w:name="方正仿宋_GB2312">
    <w:altName w:val="仿宋"/>
    <w:panose1 w:val="00000000000000000000"/>
    <w:charset w:val="00"/>
    <w:family w:val="auto"/>
    <w:pitch w:val="default"/>
    <w:sig w:usb0="00000000" w:usb1="00000000" w:usb2="00000000" w:usb3="00000000" w:csb0="00000000" w:csb1="00000000"/>
  </w:font>
  <w:font w:name="等线 Light">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w:pict>
        <v:shape id="_x0000_s3073" o:spid="_x0000_s3073"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pPr>
                  <w:pStyle w:val="6"/>
                </w:pPr>
                <w:r>
                  <w:fldChar w:fldCharType="begin"/>
                </w:r>
                <w:r>
                  <w:instrText xml:space="preserve"> PAGE  \* MERGEFORMAT </w:instrText>
                </w:r>
                <w:r>
                  <w:fldChar w:fldCharType="separate"/>
                </w:r>
                <w:r>
                  <w:t>1</w:t>
                </w:r>
                <w:r>
                  <w:fldChar w:fldCharType="end"/>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1B58E7A"/>
    <w:multiLevelType w:val="singleLevel"/>
    <w:tmpl w:val="A1B58E7A"/>
    <w:lvl w:ilvl="0" w:tentative="0">
      <w:start w:val="1"/>
      <w:numFmt w:val="decimal"/>
      <w:suff w:val="space"/>
      <w:lvlText w:val="%1."/>
      <w:lvlJc w:val="left"/>
    </w:lvl>
  </w:abstractNum>
  <w:abstractNum w:abstractNumId="1">
    <w:nsid w:val="A36D3C86"/>
    <w:multiLevelType w:val="singleLevel"/>
    <w:tmpl w:val="A36D3C86"/>
    <w:lvl w:ilvl="0" w:tentative="0">
      <w:start w:val="1"/>
      <w:numFmt w:val="decimal"/>
      <w:suff w:val="space"/>
      <w:lvlText w:val="%1."/>
      <w:lvlJc w:val="left"/>
    </w:lvl>
  </w:abstractNum>
  <w:abstractNum w:abstractNumId="2">
    <w:nsid w:val="255E7B73"/>
    <w:multiLevelType w:val="singleLevel"/>
    <w:tmpl w:val="255E7B73"/>
    <w:lvl w:ilvl="0" w:tentative="0">
      <w:start w:val="2"/>
      <w:numFmt w:val="chineseCounting"/>
      <w:suff w:val="nothing"/>
      <w:lvlText w:val="%1、"/>
      <w:lvlJc w:val="left"/>
      <w:rPr>
        <w:rFonts w:hint="eastAsia"/>
      </w:rPr>
    </w:lvl>
  </w:abstractNum>
  <w:abstractNum w:abstractNumId="3">
    <w:nsid w:val="426BC8DA"/>
    <w:multiLevelType w:val="singleLevel"/>
    <w:tmpl w:val="426BC8DA"/>
    <w:lvl w:ilvl="0" w:tentative="0">
      <w:start w:val="1"/>
      <w:numFmt w:val="decimal"/>
      <w:suff w:val="space"/>
      <w:lvlText w:val="%1."/>
      <w:lvlJc w:val="left"/>
    </w:lvl>
  </w:abstractNum>
  <w:abstractNum w:abstractNumId="4">
    <w:nsid w:val="45938A29"/>
    <w:multiLevelType w:val="singleLevel"/>
    <w:tmpl w:val="45938A29"/>
    <w:lvl w:ilvl="0" w:tentative="0">
      <w:start w:val="1"/>
      <w:numFmt w:val="decimal"/>
      <w:suff w:val="space"/>
      <w:lvlText w:val="%1."/>
      <w:lvlJc w:val="left"/>
    </w:lvl>
  </w:abstractNum>
  <w:abstractNum w:abstractNumId="5">
    <w:nsid w:val="45FCFD1E"/>
    <w:multiLevelType w:val="singleLevel"/>
    <w:tmpl w:val="45FCFD1E"/>
    <w:lvl w:ilvl="0" w:tentative="0">
      <w:start w:val="1"/>
      <w:numFmt w:val="decimal"/>
      <w:suff w:val="space"/>
      <w:lvlText w:val="%1."/>
      <w:lvlJc w:val="left"/>
    </w:lvl>
  </w:abstractNum>
  <w:abstractNum w:abstractNumId="6">
    <w:nsid w:val="5F362A4A"/>
    <w:multiLevelType w:val="singleLevel"/>
    <w:tmpl w:val="5F362A4A"/>
    <w:lvl w:ilvl="0" w:tentative="0">
      <w:start w:val="1"/>
      <w:numFmt w:val="decimal"/>
      <w:suff w:val="space"/>
      <w:lvlText w:val="%1."/>
      <w:lvlJc w:val="left"/>
    </w:lvl>
  </w:abstractNum>
  <w:num w:numId="1">
    <w:abstractNumId w:val="2"/>
  </w:num>
  <w:num w:numId="2">
    <w:abstractNumId w:val="6"/>
  </w:num>
  <w:num w:numId="3">
    <w:abstractNumId w:val="5"/>
  </w:num>
  <w:num w:numId="4">
    <w:abstractNumId w:val="1"/>
  </w:num>
  <w:num w:numId="5">
    <w:abstractNumId w:val="0"/>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rsids>
    <w:rsidRoot w:val="008067EE"/>
    <w:rsid w:val="00403C93"/>
    <w:rsid w:val="007E26FD"/>
    <w:rsid w:val="007F4995"/>
    <w:rsid w:val="008067EE"/>
    <w:rsid w:val="00964F68"/>
    <w:rsid w:val="00FB231F"/>
    <w:rsid w:val="00FE6E6C"/>
    <w:rsid w:val="01564A05"/>
    <w:rsid w:val="04073203"/>
    <w:rsid w:val="08323DAF"/>
    <w:rsid w:val="09322AD0"/>
    <w:rsid w:val="0A152966"/>
    <w:rsid w:val="0C2F1549"/>
    <w:rsid w:val="0EE3032C"/>
    <w:rsid w:val="16454C6A"/>
    <w:rsid w:val="16F358A2"/>
    <w:rsid w:val="18A01EC7"/>
    <w:rsid w:val="1B3A15E3"/>
    <w:rsid w:val="227844F1"/>
    <w:rsid w:val="231D7EF5"/>
    <w:rsid w:val="25404616"/>
    <w:rsid w:val="27281D65"/>
    <w:rsid w:val="29770298"/>
    <w:rsid w:val="2A3E287E"/>
    <w:rsid w:val="2D09202F"/>
    <w:rsid w:val="31651173"/>
    <w:rsid w:val="34B6481F"/>
    <w:rsid w:val="35C664D5"/>
    <w:rsid w:val="386A5582"/>
    <w:rsid w:val="3DDD5BD5"/>
    <w:rsid w:val="40CB2489"/>
    <w:rsid w:val="470D1399"/>
    <w:rsid w:val="4BB328F5"/>
    <w:rsid w:val="4C325F10"/>
    <w:rsid w:val="4F227D19"/>
    <w:rsid w:val="4FC6709B"/>
    <w:rsid w:val="550F5041"/>
    <w:rsid w:val="55C23E61"/>
    <w:rsid w:val="5939268C"/>
    <w:rsid w:val="5C201550"/>
    <w:rsid w:val="65143E21"/>
    <w:rsid w:val="663C03CC"/>
    <w:rsid w:val="6C023A2B"/>
    <w:rsid w:val="6D9C0FE4"/>
    <w:rsid w:val="6EF1389A"/>
    <w:rsid w:val="720F27CE"/>
    <w:rsid w:val="73A3328A"/>
    <w:rsid w:val="74513992"/>
    <w:rsid w:val="78D930EC"/>
    <w:rsid w:val="797177C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kern w:val="44"/>
      <w:sz w:val="44"/>
      <w:szCs w:val="20"/>
    </w:rPr>
  </w:style>
  <w:style w:type="paragraph" w:styleId="3">
    <w:name w:val="heading 2"/>
    <w:basedOn w:val="1"/>
    <w:next w:val="1"/>
    <w:qFormat/>
    <w:uiPriority w:val="0"/>
    <w:pPr>
      <w:keepNext/>
      <w:keepLines/>
      <w:spacing w:before="260" w:after="260" w:line="416" w:lineRule="auto"/>
      <w:outlineLvl w:val="1"/>
    </w:pPr>
    <w:rPr>
      <w:rFonts w:ascii="Cambria" w:hAnsi="Cambria"/>
      <w:b/>
      <w:sz w:val="32"/>
      <w:szCs w:val="20"/>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4">
    <w:name w:val="Body Text Indent"/>
    <w:basedOn w:val="1"/>
    <w:qFormat/>
    <w:uiPriority w:val="0"/>
    <w:pPr>
      <w:ind w:firstLine="640" w:firstLineChars="200"/>
      <w:jc w:val="center"/>
    </w:pPr>
    <w:rPr>
      <w:rFonts w:eastAsia="黑体"/>
      <w:sz w:val="32"/>
    </w:rPr>
  </w:style>
  <w:style w:type="paragraph" w:styleId="5">
    <w:name w:val="Date"/>
    <w:basedOn w:val="1"/>
    <w:next w:val="1"/>
    <w:link w:val="13"/>
    <w:semiHidden/>
    <w:unhideWhenUsed/>
    <w:qFormat/>
    <w:uiPriority w:val="99"/>
    <w:pPr>
      <w:ind w:left="100" w:leftChars="2500"/>
    </w:pPr>
  </w:style>
  <w:style w:type="paragraph" w:styleId="6">
    <w:name w:val="footer"/>
    <w:basedOn w:val="1"/>
    <w:link w:val="12"/>
    <w:semiHidden/>
    <w:unhideWhenUsed/>
    <w:qFormat/>
    <w:uiPriority w:val="99"/>
    <w:pPr>
      <w:tabs>
        <w:tab w:val="center" w:pos="4153"/>
        <w:tab w:val="right" w:pos="8306"/>
      </w:tabs>
      <w:snapToGrid w:val="0"/>
      <w:jc w:val="left"/>
    </w:pPr>
    <w:rPr>
      <w:sz w:val="18"/>
      <w:szCs w:val="18"/>
    </w:rPr>
  </w:style>
  <w:style w:type="paragraph" w:styleId="7">
    <w:name w:val="header"/>
    <w:basedOn w:val="1"/>
    <w:link w:val="11"/>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styleId="10">
    <w:name w:val="page number"/>
    <w:basedOn w:val="9"/>
    <w:qFormat/>
    <w:uiPriority w:val="0"/>
  </w:style>
  <w:style w:type="character" w:customStyle="1" w:styleId="11">
    <w:name w:val="页眉 Char"/>
    <w:basedOn w:val="9"/>
    <w:link w:val="7"/>
    <w:semiHidden/>
    <w:qFormat/>
    <w:uiPriority w:val="99"/>
    <w:rPr>
      <w:sz w:val="18"/>
      <w:szCs w:val="18"/>
    </w:rPr>
  </w:style>
  <w:style w:type="character" w:customStyle="1" w:styleId="12">
    <w:name w:val="页脚 Char"/>
    <w:basedOn w:val="9"/>
    <w:link w:val="6"/>
    <w:semiHidden/>
    <w:qFormat/>
    <w:uiPriority w:val="99"/>
    <w:rPr>
      <w:sz w:val="18"/>
      <w:szCs w:val="18"/>
    </w:rPr>
  </w:style>
  <w:style w:type="character" w:customStyle="1" w:styleId="13">
    <w:name w:val="日期 Char"/>
    <w:basedOn w:val="9"/>
    <w:link w:val="5"/>
    <w:semiHidden/>
    <w:qFormat/>
    <w:uiPriority w:val="99"/>
    <w:rPr>
      <w:rFonts w:ascii="Times New Roman" w:hAnsi="Times New Roman" w:eastAsia="宋体" w:cs="Times New Roman"/>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3073"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41</Words>
  <Characters>234</Characters>
  <Lines>1</Lines>
  <Paragraphs>1</Paragraphs>
  <TotalTime>18</TotalTime>
  <ScaleCrop>false</ScaleCrop>
  <LinksUpToDate>false</LinksUpToDate>
  <CharactersWithSpaces>274</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2020-01-26T08:14:00Z</dcterms:created>
  <dc:creator>janewang</dc:creator>
  <cp:lastModifiedBy>admin</cp:lastModifiedBy>
  <cp:lastPrinted>2022-02-28T08:09:27Z</cp:lastPrinted>
  <dcterms:modified xsi:type="dcterms:W3CDTF">2022-02-28T08:20:29Z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SaveFontToCloudKey">
    <vt:lpwstr>358694620_cloud</vt:lpwstr>
  </property>
  <property fmtid="{D5CDD505-2E9C-101B-9397-08002B2CF9AE}" pid="3" name="KSOProductBuildVer">
    <vt:lpwstr>2052-11.1.0.11365</vt:lpwstr>
  </property>
  <property fmtid="{D5CDD505-2E9C-101B-9397-08002B2CF9AE}" pid="4" name="ICV">
    <vt:lpwstr>03FD9603048E40C4B4AD95401A796AAF</vt:lpwstr>
  </property>
</Properties>
</file>