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黑体" w:hAnsi="黑体" w:eastAsia="黑体" w:cs="黑体"/>
          <w:sz w:val="84"/>
          <w:szCs w:val="84"/>
        </w:rPr>
      </w:pPr>
      <w:r>
        <w:drawing>
          <wp:inline distT="0" distB="0" distL="0" distR="0">
            <wp:extent cx="1619885" cy="437515"/>
            <wp:effectExtent l="0" t="0" r="1841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619885" cy="437515"/>
                    </a:xfrm>
                    <a:prstGeom prst="rect">
                      <a:avLst/>
                    </a:prstGeom>
                    <a:noFill/>
                    <a:ln>
                      <a:noFill/>
                    </a:ln>
                  </pic:spPr>
                </pic:pic>
              </a:graphicData>
            </a:graphic>
          </wp:inline>
        </w:drawing>
      </w:r>
      <w:r>
        <w:rPr>
          <w:rFonts w:hint="eastAsia" w:ascii="黑体" w:hAnsi="黑体" w:eastAsia="黑体" w:cs="黑体"/>
          <w:sz w:val="84"/>
          <w:szCs w:val="84"/>
        </w:rPr>
        <w:drawing>
          <wp:anchor distT="0" distB="0" distL="114300" distR="114300" simplePos="0" relativeHeight="251659264" behindDoc="1" locked="0" layoutInCell="1" allowOverlap="1">
            <wp:simplePos x="0" y="0"/>
            <wp:positionH relativeFrom="page">
              <wp:posOffset>2734945</wp:posOffset>
            </wp:positionH>
            <wp:positionV relativeFrom="paragraph">
              <wp:posOffset>233680</wp:posOffset>
            </wp:positionV>
            <wp:extent cx="363220" cy="438785"/>
            <wp:effectExtent l="0" t="0" r="17780" b="18415"/>
            <wp:wrapNone/>
            <wp:docPr id="7" name="图片 7" descr="98b48763380bfc407c458817361f5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98b48763380bfc407c458817361f52f"/>
                    <pic:cNvPicPr>
                      <a:picLocks noChangeAspect="1"/>
                    </pic:cNvPicPr>
                  </pic:nvPicPr>
                  <pic:blipFill>
                    <a:blip r:embed="rId8">
                      <a:extLst>
                        <a:ext uri="{28A0092B-C50C-407E-A947-70E740481C1C}">
                          <a14:useLocalDpi xmlns:a14="http://schemas.microsoft.com/office/drawing/2010/main" val="0"/>
                        </a:ext>
                      </a:extLst>
                    </a:blip>
                    <a:srcRect l="14099" r="19904"/>
                    <a:stretch>
                      <a:fillRect/>
                    </a:stretch>
                  </pic:blipFill>
                  <pic:spPr>
                    <a:xfrm>
                      <a:off x="0" y="0"/>
                      <a:ext cx="363220" cy="438785"/>
                    </a:xfrm>
                    <a:prstGeom prst="rect">
                      <a:avLst/>
                    </a:prstGeom>
                  </pic:spPr>
                </pic:pic>
              </a:graphicData>
            </a:graphic>
          </wp:anchor>
        </w:drawing>
      </w:r>
    </w:p>
    <w:p>
      <w:pPr>
        <w:jc w:val="center"/>
        <w:rPr>
          <w:rFonts w:ascii="华文中宋" w:hAnsi="华文中宋" w:eastAsia="华文中宋" w:cs="华文中宋"/>
          <w:b/>
          <w:bCs/>
          <w:sz w:val="21"/>
          <w:szCs w:val="21"/>
        </w:rPr>
      </w:pPr>
    </w:p>
    <w:p>
      <w:pPr>
        <w:jc w:val="center"/>
        <w:rPr>
          <w:rFonts w:ascii="华文中宋" w:hAnsi="华文中宋" w:eastAsia="华文中宋" w:cs="华文中宋"/>
          <w:b/>
          <w:bCs/>
          <w:sz w:val="21"/>
          <w:szCs w:val="21"/>
        </w:rPr>
      </w:pPr>
    </w:p>
    <w:p>
      <w:pPr>
        <w:jc w:val="center"/>
        <w:rPr>
          <w:rFonts w:ascii="华文中宋" w:hAnsi="华文中宋" w:eastAsia="华文中宋" w:cs="华文中宋"/>
          <w:b/>
          <w:bCs/>
          <w:sz w:val="21"/>
          <w:szCs w:val="21"/>
        </w:rPr>
      </w:pPr>
    </w:p>
    <w:p>
      <w:pPr>
        <w:jc w:val="center"/>
        <w:rPr>
          <w:rFonts w:ascii="华文中宋" w:hAnsi="华文中宋" w:eastAsia="华文中宋" w:cs="华文中宋"/>
          <w:b/>
          <w:bCs/>
          <w:sz w:val="21"/>
          <w:szCs w:val="21"/>
        </w:rPr>
      </w:pPr>
    </w:p>
    <w:p>
      <w:pPr>
        <w:jc w:val="center"/>
        <w:rPr>
          <w:rFonts w:ascii="华文中宋" w:hAnsi="华文中宋" w:eastAsia="华文中宋" w:cs="华文中宋"/>
          <w:b/>
          <w:bCs/>
          <w:sz w:val="21"/>
          <w:szCs w:val="21"/>
        </w:rPr>
      </w:pPr>
    </w:p>
    <w:p>
      <w:pPr>
        <w:jc w:val="center"/>
        <w:rPr>
          <w:rFonts w:ascii="华文中宋" w:hAnsi="华文中宋" w:eastAsia="华文中宋" w:cs="华文中宋"/>
          <w:b/>
          <w:bCs/>
          <w:sz w:val="21"/>
          <w:szCs w:val="21"/>
        </w:rPr>
      </w:pPr>
    </w:p>
    <w:p>
      <w:pPr>
        <w:jc w:val="center"/>
        <w:rPr>
          <w:rFonts w:ascii="华文中宋" w:hAnsi="华文中宋" w:eastAsia="华文中宋" w:cs="华文中宋"/>
          <w:b/>
          <w:bCs/>
          <w:sz w:val="21"/>
          <w:szCs w:val="21"/>
        </w:rPr>
      </w:pPr>
    </w:p>
    <w:p>
      <w:pPr>
        <w:jc w:val="center"/>
        <w:rPr>
          <w:rFonts w:ascii="华文中宋" w:hAnsi="华文中宋" w:eastAsia="华文中宋" w:cs="华文中宋"/>
          <w:b/>
          <w:bCs/>
          <w:sz w:val="21"/>
          <w:szCs w:val="21"/>
        </w:rPr>
      </w:pPr>
    </w:p>
    <w:p>
      <w:pPr>
        <w:jc w:val="center"/>
        <w:rPr>
          <w:rFonts w:ascii="华文中宋" w:hAnsi="华文中宋" w:eastAsia="华文中宋" w:cs="华文中宋"/>
          <w:b/>
          <w:bCs/>
          <w:sz w:val="21"/>
          <w:szCs w:val="21"/>
        </w:rPr>
      </w:pPr>
    </w:p>
    <w:p>
      <w:pPr>
        <w:spacing w:line="288" w:lineRule="auto"/>
        <w:jc w:val="center"/>
        <w:rPr>
          <w:rFonts w:ascii="华文中宋" w:hAnsi="华文中宋" w:eastAsia="华文中宋" w:cs="华文中宋"/>
          <w:b/>
          <w:bCs/>
          <w:sz w:val="72"/>
          <w:szCs w:val="72"/>
        </w:rPr>
      </w:pPr>
      <w:r>
        <w:rPr>
          <w:rFonts w:hint="eastAsia" w:ascii="华文中宋" w:hAnsi="华文中宋" w:eastAsia="华文中宋" w:cs="华文中宋"/>
          <w:b/>
          <w:bCs/>
          <w:sz w:val="72"/>
          <w:szCs w:val="72"/>
          <w:lang w:val="en-US"/>
        </w:rPr>
        <w:t>湖州师范学院</w:t>
      </w:r>
      <w:r>
        <w:rPr>
          <w:rFonts w:hint="eastAsia" w:ascii="华文中宋" w:hAnsi="华文中宋" w:eastAsia="华文中宋" w:cs="华文中宋"/>
          <w:b/>
          <w:bCs/>
          <w:sz w:val="72"/>
          <w:szCs w:val="72"/>
        </w:rPr>
        <w:t>音乐学院（筹）</w:t>
      </w:r>
    </w:p>
    <w:p>
      <w:pPr>
        <w:spacing w:line="288" w:lineRule="auto"/>
        <w:jc w:val="center"/>
        <w:rPr>
          <w:rFonts w:ascii="华文中宋" w:hAnsi="华文中宋" w:eastAsia="华文中宋" w:cs="华文中宋"/>
          <w:b/>
          <w:bCs/>
          <w:sz w:val="72"/>
          <w:szCs w:val="72"/>
        </w:rPr>
      </w:pPr>
      <w:r>
        <w:rPr>
          <w:rFonts w:hint="eastAsia" w:ascii="华文中宋" w:hAnsi="华文中宋" w:eastAsia="华文中宋" w:cs="华文中宋"/>
          <w:b/>
          <w:bCs/>
          <w:sz w:val="72"/>
          <w:szCs w:val="72"/>
        </w:rPr>
        <w:t>“十四五”发展规划</w:t>
      </w:r>
    </w:p>
    <w:p>
      <w:pPr>
        <w:spacing w:line="360" w:lineRule="auto"/>
        <w:jc w:val="center"/>
        <w:rPr>
          <w:rFonts w:ascii="华文楷体" w:hAnsi="华文楷体" w:eastAsia="华文楷体" w:cs="华文楷体"/>
          <w:sz w:val="21"/>
          <w:szCs w:val="21"/>
        </w:rPr>
      </w:pPr>
    </w:p>
    <w:p>
      <w:pPr>
        <w:spacing w:line="360" w:lineRule="auto"/>
        <w:rPr>
          <w:rFonts w:ascii="华文仿宋" w:hAnsi="华文仿宋" w:eastAsia="华文仿宋" w:cs="华文仿宋"/>
          <w:sz w:val="32"/>
          <w:szCs w:val="32"/>
        </w:rPr>
      </w:pPr>
    </w:p>
    <w:p>
      <w:pPr>
        <w:spacing w:line="360" w:lineRule="auto"/>
        <w:rPr>
          <w:rFonts w:ascii="华文仿宋" w:hAnsi="华文仿宋" w:eastAsia="华文仿宋" w:cs="华文仿宋"/>
          <w:sz w:val="32"/>
          <w:szCs w:val="32"/>
        </w:rPr>
      </w:pPr>
    </w:p>
    <w:p>
      <w:pPr>
        <w:spacing w:line="360" w:lineRule="auto"/>
        <w:rPr>
          <w:rFonts w:ascii="华文仿宋" w:hAnsi="华文仿宋" w:eastAsia="华文仿宋" w:cs="华文仿宋"/>
          <w:sz w:val="32"/>
          <w:szCs w:val="32"/>
        </w:rPr>
      </w:pPr>
    </w:p>
    <w:p>
      <w:pPr>
        <w:spacing w:line="360" w:lineRule="auto"/>
        <w:rPr>
          <w:rFonts w:ascii="华文仿宋" w:hAnsi="华文仿宋" w:eastAsia="华文仿宋" w:cs="华文仿宋"/>
          <w:sz w:val="32"/>
          <w:szCs w:val="32"/>
        </w:rPr>
      </w:pPr>
    </w:p>
    <w:p>
      <w:pPr>
        <w:rPr>
          <w:rFonts w:ascii="华文仿宋" w:hAnsi="华文仿宋" w:eastAsia="华文仿宋" w:cs="华文仿宋"/>
          <w:sz w:val="32"/>
          <w:szCs w:val="32"/>
        </w:rPr>
        <w:sectPr>
          <w:footerReference r:id="rId3" w:type="default"/>
          <w:pgSz w:w="11910" w:h="16840"/>
          <w:pgMar w:top="1500" w:right="1380" w:bottom="1380" w:left="1680" w:header="852" w:footer="1196" w:gutter="0"/>
          <w:pgNumType w:fmt="numberInDash"/>
          <w:cols w:space="720" w:num="1"/>
        </w:sectPr>
      </w:pPr>
    </w:p>
    <w:sdt>
      <w:sdtPr>
        <w:rPr>
          <w:rFonts w:ascii="宋体" w:hAnsi="宋体" w:eastAsia="宋体"/>
          <w:sz w:val="21"/>
        </w:rPr>
        <w:id w:val="147465138"/>
        <w15:color w:val="DBDBDB"/>
        <w:docPartObj>
          <w:docPartGallery w:val="Table of Contents"/>
          <w:docPartUnique/>
        </w:docPartObj>
      </w:sdtPr>
      <w:sdtEndPr>
        <w:rPr>
          <w:rFonts w:hint="eastAsia" w:ascii="仿宋" w:hAnsi="仿宋" w:eastAsia="仿宋"/>
          <w:sz w:val="30"/>
          <w:szCs w:val="30"/>
        </w:rPr>
      </w:sdtEndPr>
      <w:sdtContent>
        <w:p>
          <w:pPr>
            <w:spacing w:line="360" w:lineRule="auto"/>
            <w:jc w:val="center"/>
            <w:rPr>
              <w:sz w:val="28"/>
              <w:szCs w:val="28"/>
            </w:rPr>
          </w:pPr>
          <w:r>
            <w:rPr>
              <w:rFonts w:hint="eastAsia" w:ascii="黑体" w:hAnsi="黑体" w:eastAsia="黑体" w:cs="黑体"/>
              <w:sz w:val="44"/>
              <w:szCs w:val="44"/>
            </w:rPr>
            <w:t>目</w:t>
          </w:r>
          <w:r>
            <w:rPr>
              <w:rFonts w:hint="eastAsia" w:ascii="黑体" w:hAnsi="黑体" w:eastAsia="黑体" w:cs="黑体"/>
              <w:sz w:val="44"/>
              <w:szCs w:val="44"/>
              <w:lang w:val="en-US"/>
            </w:rPr>
            <w:t xml:space="preserve">  </w:t>
          </w:r>
          <w:r>
            <w:rPr>
              <w:rFonts w:hint="eastAsia" w:ascii="黑体" w:hAnsi="黑体" w:eastAsia="黑体" w:cs="黑体"/>
              <w:sz w:val="44"/>
              <w:szCs w:val="44"/>
            </w:rPr>
            <w:t>录</w:t>
          </w:r>
        </w:p>
        <w:p>
          <w:pPr>
            <w:pStyle w:val="10"/>
            <w:tabs>
              <w:tab w:val="right" w:leader="dot" w:pos="8840"/>
            </w:tabs>
            <w:spacing w:line="300" w:lineRule="exact"/>
            <w:rPr>
              <w:rFonts w:ascii="黑体" w:hAnsi="黑体" w:eastAsia="黑体" w:cstheme="minorBidi"/>
              <w:b w:val="0"/>
              <w:bCs w:val="0"/>
              <w:kern w:val="2"/>
              <w:lang w:val="en-US" w:bidi="ar-SA"/>
            </w:rPr>
          </w:pPr>
          <w:r>
            <w:rPr>
              <w:rFonts w:hint="eastAsia"/>
              <w:b w:val="0"/>
              <w:bCs w:val="0"/>
            </w:rPr>
            <w:fldChar w:fldCharType="begin"/>
          </w:r>
          <w:r>
            <w:rPr>
              <w:rFonts w:hint="eastAsia"/>
              <w:b w:val="0"/>
              <w:bCs w:val="0"/>
            </w:rPr>
            <w:instrText xml:space="preserve">TOC \o "1-3" \h \u </w:instrText>
          </w:r>
          <w:r>
            <w:rPr>
              <w:rFonts w:hint="eastAsia"/>
              <w:b w:val="0"/>
              <w:bCs w:val="0"/>
            </w:rPr>
            <w:fldChar w:fldCharType="separate"/>
          </w:r>
          <w:r>
            <w:fldChar w:fldCharType="begin"/>
          </w:r>
          <w:r>
            <w:instrText xml:space="preserve"> HYPERLINK \l "_Toc80652866" </w:instrText>
          </w:r>
          <w:r>
            <w:fldChar w:fldCharType="separate"/>
          </w:r>
          <w:r>
            <w:rPr>
              <w:rStyle w:val="15"/>
              <w:rFonts w:ascii="黑体" w:hAnsi="黑体" w:eastAsia="黑体" w:cs="华文中宋"/>
              <w:b w:val="0"/>
              <w:bCs w:val="0"/>
              <w:color w:val="auto"/>
            </w:rPr>
            <w:t>序</w:t>
          </w:r>
          <w:r>
            <w:rPr>
              <w:rStyle w:val="15"/>
              <w:rFonts w:ascii="黑体" w:hAnsi="黑体" w:eastAsia="黑体" w:cs="华文中宋"/>
              <w:b w:val="0"/>
              <w:bCs w:val="0"/>
              <w:color w:val="auto"/>
              <w:lang w:val="en-US"/>
            </w:rPr>
            <w:t xml:space="preserve"> </w:t>
          </w:r>
          <w:r>
            <w:rPr>
              <w:rStyle w:val="15"/>
              <w:rFonts w:ascii="黑体" w:hAnsi="黑体" w:eastAsia="黑体" w:cs="华文中宋"/>
              <w:b w:val="0"/>
              <w:bCs w:val="0"/>
              <w:color w:val="auto"/>
            </w:rPr>
            <w:t>言</w:t>
          </w:r>
          <w:r>
            <w:rPr>
              <w:rFonts w:ascii="黑体" w:hAnsi="黑体" w:eastAsia="黑体"/>
              <w:b w:val="0"/>
              <w:bCs w:val="0"/>
            </w:rPr>
            <w:tab/>
          </w:r>
          <w:r>
            <w:rPr>
              <w:rFonts w:ascii="黑体" w:hAnsi="黑体" w:eastAsia="黑体"/>
              <w:b w:val="0"/>
              <w:bCs w:val="0"/>
            </w:rPr>
            <w:fldChar w:fldCharType="end"/>
          </w:r>
          <w:r>
            <w:rPr>
              <w:rFonts w:ascii="黑体" w:hAnsi="黑体" w:eastAsia="黑体"/>
              <w:b w:val="0"/>
              <w:bCs w:val="0"/>
            </w:rPr>
            <w:t>1</w:t>
          </w:r>
        </w:p>
        <w:p>
          <w:pPr>
            <w:pStyle w:val="10"/>
            <w:tabs>
              <w:tab w:val="right" w:leader="dot" w:pos="8840"/>
            </w:tabs>
            <w:spacing w:line="300" w:lineRule="exact"/>
            <w:rPr>
              <w:rFonts w:ascii="黑体" w:hAnsi="黑体" w:eastAsia="黑体" w:cstheme="minorBidi"/>
              <w:b w:val="0"/>
              <w:bCs w:val="0"/>
              <w:kern w:val="2"/>
              <w:lang w:val="en-US" w:bidi="ar-SA"/>
            </w:rPr>
          </w:pPr>
          <w:r>
            <w:fldChar w:fldCharType="begin"/>
          </w:r>
          <w:r>
            <w:instrText xml:space="preserve"> HYPERLINK \l "_Toc80652867" </w:instrText>
          </w:r>
          <w:r>
            <w:fldChar w:fldCharType="separate"/>
          </w:r>
          <w:r>
            <w:rPr>
              <w:rStyle w:val="15"/>
              <w:rFonts w:ascii="黑体" w:hAnsi="黑体" w:eastAsia="黑体" w:cs="华文中宋"/>
              <w:b w:val="0"/>
              <w:bCs w:val="0"/>
              <w:color w:val="auto"/>
            </w:rPr>
            <w:t>第一部分  发展基础和发展形势</w:t>
          </w:r>
          <w:r>
            <w:rPr>
              <w:rFonts w:ascii="黑体" w:hAnsi="黑体" w:eastAsia="黑体"/>
              <w:b w:val="0"/>
              <w:bCs w:val="0"/>
            </w:rPr>
            <w:tab/>
          </w:r>
          <w:r>
            <w:rPr>
              <w:rFonts w:ascii="黑体" w:hAnsi="黑体" w:eastAsia="黑体"/>
              <w:b w:val="0"/>
              <w:bCs w:val="0"/>
            </w:rPr>
            <w:fldChar w:fldCharType="end"/>
          </w:r>
          <w:r>
            <w:rPr>
              <w:rFonts w:ascii="黑体" w:hAnsi="黑体" w:eastAsia="黑体"/>
              <w:b w:val="0"/>
              <w:bCs w:val="0"/>
            </w:rPr>
            <w:t>2</w:t>
          </w:r>
        </w:p>
        <w:p>
          <w:pPr>
            <w:pStyle w:val="11"/>
            <w:tabs>
              <w:tab w:val="right" w:leader="dot" w:pos="8840"/>
            </w:tabs>
            <w:spacing w:line="300" w:lineRule="exact"/>
            <w:rPr>
              <w:rFonts w:cstheme="minorBidi"/>
              <w:b/>
              <w:bCs/>
              <w:kern w:val="2"/>
              <w:lang w:val="en-US" w:bidi="ar-SA"/>
            </w:rPr>
          </w:pPr>
          <w:r>
            <w:fldChar w:fldCharType="begin"/>
          </w:r>
          <w:r>
            <w:instrText xml:space="preserve"> HYPERLINK \l "_Toc80652868" </w:instrText>
          </w:r>
          <w:r>
            <w:fldChar w:fldCharType="separate"/>
          </w:r>
          <w:r>
            <w:rPr>
              <w:rStyle w:val="15"/>
              <w:b/>
              <w:bCs/>
              <w:color w:val="auto"/>
            </w:rPr>
            <w:t>一、发展基础</w:t>
          </w:r>
          <w:r>
            <w:rPr>
              <w:rStyle w:val="15"/>
              <w:b/>
              <w:bCs/>
              <w:color w:val="auto"/>
            </w:rPr>
            <w:fldChar w:fldCharType="end"/>
          </w:r>
        </w:p>
        <w:p>
          <w:pPr>
            <w:pStyle w:val="7"/>
            <w:tabs>
              <w:tab w:val="right" w:leader="dot" w:pos="8840"/>
            </w:tabs>
            <w:spacing w:line="300" w:lineRule="exact"/>
            <w:rPr>
              <w:rStyle w:val="15"/>
              <w:b w:val="0"/>
              <w:bCs w:val="0"/>
              <w:i w:val="0"/>
              <w:iCs/>
              <w:color w:val="auto"/>
              <w:sz w:val="32"/>
              <w:szCs w:val="32"/>
              <w:u w:val="none"/>
              <w:lang w:val="en-US"/>
            </w:rPr>
          </w:pPr>
          <w:r>
            <w:rPr>
              <w:rStyle w:val="15"/>
              <w:b w:val="0"/>
              <w:bCs w:val="0"/>
              <w:i w:val="0"/>
              <w:iCs/>
              <w:color w:val="auto"/>
              <w:sz w:val="32"/>
              <w:szCs w:val="32"/>
              <w:u w:val="none"/>
              <w:lang w:val="en-US"/>
            </w:rPr>
            <w:t>（</w:t>
          </w:r>
          <w:r>
            <w:rPr>
              <w:rStyle w:val="15"/>
              <w:rFonts w:hint="eastAsia"/>
              <w:b w:val="0"/>
              <w:bCs w:val="0"/>
              <w:i w:val="0"/>
              <w:iCs/>
              <w:color w:val="auto"/>
              <w:sz w:val="32"/>
              <w:szCs w:val="32"/>
              <w:u w:val="none"/>
              <w:lang w:val="en-US"/>
            </w:rPr>
            <w:t>一）学科平台机遇再逢利好</w:t>
          </w:r>
        </w:p>
        <w:p>
          <w:pPr>
            <w:pStyle w:val="7"/>
            <w:tabs>
              <w:tab w:val="right" w:leader="dot" w:pos="8840"/>
            </w:tabs>
            <w:spacing w:line="300" w:lineRule="exact"/>
            <w:rPr>
              <w:rFonts w:cstheme="minorBidi"/>
              <w:b w:val="0"/>
              <w:bCs w:val="0"/>
              <w:i w:val="0"/>
              <w:iCs/>
              <w:kern w:val="2"/>
              <w:sz w:val="32"/>
              <w:szCs w:val="32"/>
              <w:lang w:val="en-US" w:bidi="ar-SA"/>
            </w:rPr>
          </w:pPr>
          <w:r>
            <w:fldChar w:fldCharType="begin"/>
          </w:r>
          <w:r>
            <w:instrText xml:space="preserve"> HYPERLINK \l "_Toc80652870" </w:instrText>
          </w:r>
          <w:r>
            <w:fldChar w:fldCharType="separate"/>
          </w:r>
          <w:r>
            <w:rPr>
              <w:rStyle w:val="15"/>
              <w:b w:val="0"/>
              <w:bCs w:val="0"/>
              <w:i w:val="0"/>
              <w:iCs/>
              <w:color w:val="auto"/>
              <w:sz w:val="32"/>
              <w:szCs w:val="32"/>
              <w:lang w:val="en-US"/>
            </w:rPr>
            <w:t>（二）师资团队建设成效明显</w:t>
          </w:r>
          <w:r>
            <w:rPr>
              <w:rStyle w:val="15"/>
              <w:b w:val="0"/>
              <w:bCs w:val="0"/>
              <w:i w:val="0"/>
              <w:iCs/>
              <w:color w:val="auto"/>
              <w:sz w:val="32"/>
              <w:szCs w:val="32"/>
              <w:lang w:val="en-US"/>
            </w:rPr>
            <w:fldChar w:fldCharType="end"/>
          </w:r>
        </w:p>
        <w:p>
          <w:pPr>
            <w:pStyle w:val="7"/>
            <w:tabs>
              <w:tab w:val="right" w:leader="dot" w:pos="8840"/>
            </w:tabs>
            <w:spacing w:line="300" w:lineRule="exact"/>
            <w:rPr>
              <w:rFonts w:cstheme="minorBidi"/>
              <w:b w:val="0"/>
              <w:bCs w:val="0"/>
              <w:i w:val="0"/>
              <w:iCs/>
              <w:kern w:val="2"/>
              <w:sz w:val="32"/>
              <w:szCs w:val="32"/>
              <w:lang w:val="en-US" w:bidi="ar-SA"/>
            </w:rPr>
          </w:pPr>
          <w:r>
            <w:fldChar w:fldCharType="begin"/>
          </w:r>
          <w:r>
            <w:instrText xml:space="preserve"> HYPERLINK \l "_Toc80652871" </w:instrText>
          </w:r>
          <w:r>
            <w:fldChar w:fldCharType="separate"/>
          </w:r>
          <w:r>
            <w:rPr>
              <w:rStyle w:val="15"/>
              <w:b w:val="0"/>
              <w:bCs w:val="0"/>
              <w:i w:val="0"/>
              <w:iCs/>
              <w:color w:val="auto"/>
              <w:sz w:val="32"/>
              <w:szCs w:val="32"/>
              <w:lang w:val="en-US"/>
            </w:rPr>
            <w:t>（三）人才培养改革成果丰硕</w:t>
          </w:r>
          <w:r>
            <w:rPr>
              <w:rStyle w:val="15"/>
              <w:b w:val="0"/>
              <w:bCs w:val="0"/>
              <w:i w:val="0"/>
              <w:iCs/>
              <w:color w:val="auto"/>
              <w:sz w:val="32"/>
              <w:szCs w:val="32"/>
              <w:lang w:val="en-US"/>
            </w:rPr>
            <w:fldChar w:fldCharType="end"/>
          </w:r>
        </w:p>
        <w:p>
          <w:pPr>
            <w:pStyle w:val="7"/>
            <w:tabs>
              <w:tab w:val="right" w:leader="dot" w:pos="8840"/>
            </w:tabs>
            <w:spacing w:line="300" w:lineRule="exact"/>
            <w:rPr>
              <w:rFonts w:cstheme="minorBidi"/>
              <w:b w:val="0"/>
              <w:bCs w:val="0"/>
              <w:i w:val="0"/>
              <w:iCs/>
              <w:kern w:val="2"/>
              <w:sz w:val="32"/>
              <w:szCs w:val="32"/>
              <w:lang w:val="en-US" w:bidi="ar-SA"/>
            </w:rPr>
          </w:pPr>
          <w:r>
            <w:fldChar w:fldCharType="begin"/>
          </w:r>
          <w:r>
            <w:instrText xml:space="preserve"> HYPERLINK \l "_Toc80652872" </w:instrText>
          </w:r>
          <w:r>
            <w:fldChar w:fldCharType="separate"/>
          </w:r>
          <w:r>
            <w:rPr>
              <w:rStyle w:val="15"/>
              <w:b w:val="0"/>
              <w:bCs w:val="0"/>
              <w:i w:val="0"/>
              <w:iCs/>
              <w:color w:val="auto"/>
              <w:sz w:val="32"/>
              <w:szCs w:val="32"/>
              <w:lang w:val="en-US"/>
            </w:rPr>
            <w:t>（四）科学研究呈现厚积薄发</w:t>
          </w:r>
          <w:r>
            <w:rPr>
              <w:rStyle w:val="15"/>
              <w:b w:val="0"/>
              <w:bCs w:val="0"/>
              <w:i w:val="0"/>
              <w:iCs/>
              <w:color w:val="auto"/>
              <w:sz w:val="32"/>
              <w:szCs w:val="32"/>
              <w:lang w:val="en-US"/>
            </w:rPr>
            <w:fldChar w:fldCharType="end"/>
          </w:r>
        </w:p>
        <w:p>
          <w:pPr>
            <w:pStyle w:val="7"/>
            <w:tabs>
              <w:tab w:val="right" w:leader="dot" w:pos="8840"/>
            </w:tabs>
            <w:spacing w:line="300" w:lineRule="exact"/>
            <w:rPr>
              <w:rFonts w:cstheme="minorBidi"/>
              <w:b w:val="0"/>
              <w:bCs w:val="0"/>
              <w:i w:val="0"/>
              <w:iCs/>
              <w:kern w:val="2"/>
              <w:sz w:val="32"/>
              <w:szCs w:val="32"/>
              <w:lang w:val="en-US" w:bidi="ar-SA"/>
            </w:rPr>
          </w:pPr>
          <w:r>
            <w:fldChar w:fldCharType="begin"/>
          </w:r>
          <w:r>
            <w:instrText xml:space="preserve"> HYPERLINK \l "_Toc80652873" </w:instrText>
          </w:r>
          <w:r>
            <w:fldChar w:fldCharType="separate"/>
          </w:r>
          <w:r>
            <w:rPr>
              <w:rStyle w:val="15"/>
              <w:b w:val="0"/>
              <w:bCs w:val="0"/>
              <w:i w:val="0"/>
              <w:iCs/>
              <w:color w:val="auto"/>
              <w:sz w:val="32"/>
              <w:szCs w:val="32"/>
              <w:lang w:val="en-US"/>
            </w:rPr>
            <w:t>（五）服务地方能力显著提升</w:t>
          </w:r>
          <w:r>
            <w:rPr>
              <w:rStyle w:val="15"/>
              <w:b w:val="0"/>
              <w:bCs w:val="0"/>
              <w:i w:val="0"/>
              <w:iCs/>
              <w:color w:val="auto"/>
              <w:sz w:val="32"/>
              <w:szCs w:val="32"/>
              <w:lang w:val="en-US"/>
            </w:rPr>
            <w:fldChar w:fldCharType="end"/>
          </w:r>
        </w:p>
        <w:p>
          <w:pPr>
            <w:pStyle w:val="7"/>
            <w:tabs>
              <w:tab w:val="right" w:leader="dot" w:pos="8840"/>
            </w:tabs>
            <w:spacing w:line="300" w:lineRule="exact"/>
            <w:rPr>
              <w:rFonts w:cstheme="minorBidi"/>
              <w:b w:val="0"/>
              <w:bCs w:val="0"/>
              <w:i w:val="0"/>
              <w:iCs/>
              <w:kern w:val="2"/>
              <w:sz w:val="32"/>
              <w:szCs w:val="32"/>
              <w:lang w:val="en-US" w:bidi="ar-SA"/>
            </w:rPr>
          </w:pPr>
          <w:r>
            <w:fldChar w:fldCharType="begin"/>
          </w:r>
          <w:r>
            <w:instrText xml:space="preserve"> HYPERLINK \l "_Toc80652874" </w:instrText>
          </w:r>
          <w:r>
            <w:fldChar w:fldCharType="separate"/>
          </w:r>
          <w:r>
            <w:rPr>
              <w:rStyle w:val="15"/>
              <w:b w:val="0"/>
              <w:bCs w:val="0"/>
              <w:i w:val="0"/>
              <w:iCs/>
              <w:color w:val="auto"/>
              <w:sz w:val="32"/>
              <w:szCs w:val="32"/>
              <w:lang w:val="en-US"/>
            </w:rPr>
            <w:t>（六）合作交流空间有效拓展</w:t>
          </w:r>
          <w:r>
            <w:rPr>
              <w:rStyle w:val="15"/>
              <w:b w:val="0"/>
              <w:bCs w:val="0"/>
              <w:i w:val="0"/>
              <w:iCs/>
              <w:color w:val="auto"/>
              <w:sz w:val="32"/>
              <w:szCs w:val="32"/>
              <w:lang w:val="en-US"/>
            </w:rPr>
            <w:fldChar w:fldCharType="end"/>
          </w:r>
        </w:p>
        <w:p>
          <w:pPr>
            <w:pStyle w:val="7"/>
            <w:tabs>
              <w:tab w:val="right" w:leader="dot" w:pos="8840"/>
            </w:tabs>
            <w:spacing w:line="300" w:lineRule="exact"/>
            <w:rPr>
              <w:rFonts w:cstheme="minorBidi"/>
              <w:b w:val="0"/>
              <w:bCs w:val="0"/>
              <w:i w:val="0"/>
              <w:iCs/>
              <w:kern w:val="2"/>
              <w:sz w:val="32"/>
              <w:szCs w:val="32"/>
              <w:lang w:val="en-US" w:bidi="ar-SA"/>
            </w:rPr>
          </w:pPr>
          <w:r>
            <w:fldChar w:fldCharType="begin"/>
          </w:r>
          <w:r>
            <w:instrText xml:space="preserve"> HYPERLINK \l "_Toc80652875" </w:instrText>
          </w:r>
          <w:r>
            <w:fldChar w:fldCharType="separate"/>
          </w:r>
          <w:r>
            <w:rPr>
              <w:rStyle w:val="15"/>
              <w:b w:val="0"/>
              <w:bCs w:val="0"/>
              <w:i w:val="0"/>
              <w:iCs/>
              <w:color w:val="auto"/>
              <w:sz w:val="32"/>
              <w:szCs w:val="32"/>
              <w:lang w:val="en-US"/>
            </w:rPr>
            <w:t>（七）办学基础资源逐步提升</w:t>
          </w:r>
          <w:r>
            <w:rPr>
              <w:rStyle w:val="15"/>
              <w:b w:val="0"/>
              <w:bCs w:val="0"/>
              <w:i w:val="0"/>
              <w:iCs/>
              <w:color w:val="auto"/>
              <w:sz w:val="32"/>
              <w:szCs w:val="32"/>
              <w:lang w:val="en-US"/>
            </w:rPr>
            <w:fldChar w:fldCharType="end"/>
          </w:r>
        </w:p>
        <w:p>
          <w:pPr>
            <w:pStyle w:val="7"/>
            <w:tabs>
              <w:tab w:val="right" w:leader="dot" w:pos="8840"/>
            </w:tabs>
            <w:spacing w:line="300" w:lineRule="exact"/>
            <w:rPr>
              <w:rFonts w:cstheme="minorBidi"/>
              <w:b w:val="0"/>
              <w:bCs w:val="0"/>
              <w:i w:val="0"/>
              <w:kern w:val="2"/>
              <w:sz w:val="32"/>
              <w:szCs w:val="32"/>
              <w:lang w:val="en-US" w:bidi="ar-SA"/>
            </w:rPr>
          </w:pPr>
          <w:r>
            <w:fldChar w:fldCharType="begin"/>
          </w:r>
          <w:r>
            <w:instrText xml:space="preserve"> HYPERLINK \l "_Toc80652876" </w:instrText>
          </w:r>
          <w:r>
            <w:fldChar w:fldCharType="separate"/>
          </w:r>
          <w:r>
            <w:rPr>
              <w:rStyle w:val="15"/>
              <w:b w:val="0"/>
              <w:bCs w:val="0"/>
              <w:i w:val="0"/>
              <w:iCs/>
              <w:color w:val="auto"/>
              <w:sz w:val="32"/>
              <w:szCs w:val="32"/>
              <w:lang w:val="en-US"/>
            </w:rPr>
            <w:t>（八）党建思政保障</w:t>
          </w:r>
          <w:r>
            <w:rPr>
              <w:rStyle w:val="15"/>
              <w:rFonts w:hint="eastAsia"/>
              <w:b w:val="0"/>
              <w:bCs w:val="0"/>
              <w:i w:val="0"/>
              <w:iCs/>
              <w:color w:val="auto"/>
              <w:sz w:val="32"/>
              <w:szCs w:val="32"/>
              <w:lang w:val="en-US"/>
            </w:rPr>
            <w:t>坚实</w:t>
          </w:r>
          <w:r>
            <w:rPr>
              <w:rStyle w:val="15"/>
              <w:b w:val="0"/>
              <w:bCs w:val="0"/>
              <w:i w:val="0"/>
              <w:iCs/>
              <w:color w:val="auto"/>
              <w:sz w:val="32"/>
              <w:szCs w:val="32"/>
              <w:lang w:val="en-US"/>
            </w:rPr>
            <w:t>有力</w:t>
          </w:r>
          <w:r>
            <w:rPr>
              <w:rStyle w:val="15"/>
              <w:b w:val="0"/>
              <w:bCs w:val="0"/>
              <w:i w:val="0"/>
              <w:iCs/>
              <w:color w:val="auto"/>
              <w:sz w:val="32"/>
              <w:szCs w:val="32"/>
              <w:lang w:val="en-US"/>
            </w:rPr>
            <w:fldChar w:fldCharType="end"/>
          </w:r>
        </w:p>
        <w:p>
          <w:pPr>
            <w:pStyle w:val="11"/>
            <w:tabs>
              <w:tab w:val="right" w:leader="dot" w:pos="8840"/>
            </w:tabs>
            <w:spacing w:line="300" w:lineRule="exact"/>
            <w:rPr>
              <w:rStyle w:val="15"/>
              <w:b/>
              <w:bCs/>
              <w:color w:val="auto"/>
            </w:rPr>
          </w:pPr>
          <w:r>
            <w:fldChar w:fldCharType="begin"/>
          </w:r>
          <w:r>
            <w:instrText xml:space="preserve"> HYPERLINK \l "_Toc80652877" </w:instrText>
          </w:r>
          <w:r>
            <w:fldChar w:fldCharType="separate"/>
          </w:r>
          <w:r>
            <w:rPr>
              <w:rStyle w:val="15"/>
              <w:b/>
              <w:bCs/>
              <w:color w:val="auto"/>
            </w:rPr>
            <w:t>二、发展形势</w:t>
          </w:r>
          <w:r>
            <w:rPr>
              <w:rStyle w:val="15"/>
              <w:color w:val="auto"/>
            </w:rPr>
            <w:tab/>
          </w:r>
          <w:r>
            <w:rPr>
              <w:rStyle w:val="15"/>
              <w:rFonts w:hint="eastAsia" w:ascii="黑体" w:hAnsi="黑体" w:eastAsia="黑体" w:cs="黑体"/>
              <w:color w:val="auto"/>
            </w:rPr>
            <w:t>4</w:t>
          </w:r>
          <w:r>
            <w:rPr>
              <w:rStyle w:val="15"/>
              <w:rFonts w:hint="eastAsia" w:ascii="黑体" w:hAnsi="黑体" w:eastAsia="黑体" w:cs="黑体"/>
              <w:color w:val="auto"/>
            </w:rPr>
            <w:fldChar w:fldCharType="end"/>
          </w:r>
        </w:p>
        <w:p>
          <w:pPr>
            <w:pStyle w:val="7"/>
            <w:tabs>
              <w:tab w:val="right" w:leader="dot" w:pos="8840"/>
            </w:tabs>
            <w:spacing w:line="300" w:lineRule="exact"/>
            <w:rPr>
              <w:rFonts w:cstheme="minorBidi"/>
              <w:b w:val="0"/>
              <w:bCs w:val="0"/>
              <w:i w:val="0"/>
              <w:iCs/>
              <w:kern w:val="2"/>
              <w:sz w:val="32"/>
              <w:szCs w:val="32"/>
              <w:lang w:val="en-US" w:bidi="ar-SA"/>
            </w:rPr>
          </w:pPr>
          <w:r>
            <w:fldChar w:fldCharType="begin"/>
          </w:r>
          <w:r>
            <w:instrText xml:space="preserve"> HYPERLINK \l "_Toc80652878" </w:instrText>
          </w:r>
          <w:r>
            <w:fldChar w:fldCharType="separate"/>
          </w:r>
          <w:r>
            <w:rPr>
              <w:rStyle w:val="15"/>
              <w:b w:val="0"/>
              <w:bCs w:val="0"/>
              <w:i w:val="0"/>
              <w:iCs/>
              <w:color w:val="auto"/>
              <w:sz w:val="32"/>
              <w:szCs w:val="32"/>
              <w:lang w:val="en-US"/>
            </w:rPr>
            <w:t>（一）发展机遇</w:t>
          </w:r>
          <w:r>
            <w:rPr>
              <w:rStyle w:val="15"/>
              <w:b w:val="0"/>
              <w:bCs w:val="0"/>
              <w:i w:val="0"/>
              <w:iCs/>
              <w:color w:val="auto"/>
              <w:sz w:val="32"/>
              <w:szCs w:val="32"/>
              <w:lang w:val="en-US"/>
            </w:rPr>
            <w:fldChar w:fldCharType="end"/>
          </w:r>
        </w:p>
        <w:p>
          <w:pPr>
            <w:pStyle w:val="7"/>
            <w:tabs>
              <w:tab w:val="right" w:leader="dot" w:pos="8840"/>
            </w:tabs>
            <w:spacing w:line="300" w:lineRule="exact"/>
            <w:rPr>
              <w:rFonts w:cstheme="minorBidi"/>
              <w:b w:val="0"/>
              <w:bCs w:val="0"/>
              <w:i w:val="0"/>
              <w:iCs/>
              <w:kern w:val="2"/>
              <w:sz w:val="32"/>
              <w:szCs w:val="32"/>
              <w:lang w:val="en-US" w:bidi="ar-SA"/>
            </w:rPr>
          </w:pPr>
          <w:r>
            <w:fldChar w:fldCharType="begin"/>
          </w:r>
          <w:r>
            <w:instrText xml:space="preserve"> HYPERLINK \l "_Toc80652879" </w:instrText>
          </w:r>
          <w:r>
            <w:fldChar w:fldCharType="separate"/>
          </w:r>
          <w:r>
            <w:rPr>
              <w:rStyle w:val="15"/>
              <w:b w:val="0"/>
              <w:bCs w:val="0"/>
              <w:i w:val="0"/>
              <w:iCs/>
              <w:color w:val="auto"/>
              <w:sz w:val="32"/>
              <w:szCs w:val="32"/>
              <w:lang w:val="en-US"/>
            </w:rPr>
            <w:t>（二）面临挑战</w:t>
          </w:r>
          <w:r>
            <w:rPr>
              <w:rStyle w:val="15"/>
              <w:b w:val="0"/>
              <w:bCs w:val="0"/>
              <w:i w:val="0"/>
              <w:iCs/>
              <w:color w:val="auto"/>
              <w:sz w:val="32"/>
              <w:szCs w:val="32"/>
              <w:lang w:val="en-US"/>
            </w:rPr>
            <w:fldChar w:fldCharType="end"/>
          </w:r>
        </w:p>
        <w:p>
          <w:pPr>
            <w:pStyle w:val="10"/>
            <w:tabs>
              <w:tab w:val="right" w:leader="dot" w:pos="8840"/>
            </w:tabs>
            <w:spacing w:line="300" w:lineRule="exact"/>
            <w:rPr>
              <w:rFonts w:ascii="黑体" w:hAnsi="黑体" w:eastAsia="黑体" w:cstheme="minorBidi"/>
              <w:b w:val="0"/>
              <w:bCs w:val="0"/>
              <w:kern w:val="2"/>
              <w:lang w:val="en-US" w:bidi="ar-SA"/>
            </w:rPr>
          </w:pPr>
          <w:r>
            <w:fldChar w:fldCharType="begin"/>
          </w:r>
          <w:r>
            <w:instrText xml:space="preserve"> HYPERLINK \l "_Toc80652880" </w:instrText>
          </w:r>
          <w:r>
            <w:fldChar w:fldCharType="separate"/>
          </w:r>
          <w:r>
            <w:rPr>
              <w:rStyle w:val="15"/>
              <w:rFonts w:ascii="黑体" w:hAnsi="黑体" w:eastAsia="黑体"/>
              <w:b w:val="0"/>
              <w:bCs w:val="0"/>
              <w:color w:val="auto"/>
              <w:lang w:val="en-US"/>
            </w:rPr>
            <w:t>第二部分  指导思想与发展目标</w:t>
          </w:r>
          <w:r>
            <w:rPr>
              <w:rFonts w:ascii="黑体" w:hAnsi="黑体" w:eastAsia="黑体"/>
              <w:b w:val="0"/>
              <w:bCs w:val="0"/>
            </w:rPr>
            <w:tab/>
          </w:r>
          <w:r>
            <w:rPr>
              <w:rFonts w:hint="eastAsia" w:ascii="黑体" w:hAnsi="黑体" w:eastAsia="黑体"/>
              <w:b w:val="0"/>
              <w:bCs w:val="0"/>
              <w:lang w:val="en-US"/>
            </w:rPr>
            <w:t>7</w:t>
          </w:r>
          <w:r>
            <w:rPr>
              <w:rFonts w:hint="eastAsia" w:ascii="黑体" w:hAnsi="黑体" w:eastAsia="黑体"/>
              <w:b w:val="0"/>
              <w:bCs w:val="0"/>
              <w:lang w:val="en-US"/>
            </w:rPr>
            <w:fldChar w:fldCharType="end"/>
          </w:r>
        </w:p>
        <w:p>
          <w:pPr>
            <w:pStyle w:val="11"/>
            <w:tabs>
              <w:tab w:val="right" w:leader="dot" w:pos="8840"/>
            </w:tabs>
            <w:spacing w:line="300" w:lineRule="exact"/>
            <w:rPr>
              <w:rFonts w:cstheme="minorBidi"/>
              <w:b/>
              <w:bCs/>
              <w:kern w:val="2"/>
              <w:lang w:val="en-US" w:bidi="ar-SA"/>
            </w:rPr>
          </w:pPr>
          <w:r>
            <w:fldChar w:fldCharType="begin"/>
          </w:r>
          <w:r>
            <w:instrText xml:space="preserve"> HYPERLINK \l "_Toc80652881" </w:instrText>
          </w:r>
          <w:r>
            <w:fldChar w:fldCharType="separate"/>
          </w:r>
          <w:r>
            <w:rPr>
              <w:rStyle w:val="15"/>
              <w:rFonts w:cs="黑体"/>
              <w:b/>
              <w:bCs/>
              <w:color w:val="auto"/>
              <w:lang w:val="en-US"/>
            </w:rPr>
            <w:t>一、指导思想</w:t>
          </w:r>
          <w:r>
            <w:rPr>
              <w:rStyle w:val="15"/>
              <w:rFonts w:cs="黑体"/>
              <w:b/>
              <w:bCs/>
              <w:color w:val="auto"/>
              <w:lang w:val="en-US"/>
            </w:rPr>
            <w:fldChar w:fldCharType="end"/>
          </w:r>
        </w:p>
        <w:p>
          <w:pPr>
            <w:pStyle w:val="11"/>
            <w:tabs>
              <w:tab w:val="right" w:leader="dot" w:pos="8840"/>
            </w:tabs>
            <w:spacing w:line="300" w:lineRule="exact"/>
            <w:rPr>
              <w:rFonts w:cstheme="minorBidi"/>
              <w:b/>
              <w:bCs/>
              <w:kern w:val="2"/>
              <w:lang w:val="en-US" w:bidi="ar-SA"/>
            </w:rPr>
          </w:pPr>
          <w:r>
            <w:fldChar w:fldCharType="begin"/>
          </w:r>
          <w:r>
            <w:instrText xml:space="preserve"> HYPERLINK \l "_Toc80652882" </w:instrText>
          </w:r>
          <w:r>
            <w:fldChar w:fldCharType="separate"/>
          </w:r>
          <w:r>
            <w:rPr>
              <w:rStyle w:val="15"/>
              <w:rFonts w:cs="黑体"/>
              <w:b/>
              <w:bCs/>
              <w:color w:val="auto"/>
              <w:lang w:val="en-US"/>
            </w:rPr>
            <w:t>二、发展目标</w:t>
          </w:r>
          <w:r>
            <w:rPr>
              <w:rStyle w:val="15"/>
              <w:rFonts w:cs="黑体"/>
              <w:b/>
              <w:bCs/>
              <w:color w:val="auto"/>
              <w:lang w:val="en-US"/>
            </w:rPr>
            <w:fldChar w:fldCharType="end"/>
          </w:r>
        </w:p>
        <w:p>
          <w:pPr>
            <w:pStyle w:val="10"/>
            <w:tabs>
              <w:tab w:val="right" w:leader="dot" w:pos="8840"/>
            </w:tabs>
            <w:spacing w:line="300" w:lineRule="exact"/>
            <w:rPr>
              <w:rFonts w:ascii="黑体" w:hAnsi="黑体" w:eastAsia="黑体" w:cstheme="minorBidi"/>
              <w:b w:val="0"/>
              <w:bCs w:val="0"/>
              <w:kern w:val="2"/>
              <w:lang w:val="en-US" w:bidi="ar-SA"/>
            </w:rPr>
          </w:pPr>
          <w:r>
            <w:fldChar w:fldCharType="begin"/>
          </w:r>
          <w:r>
            <w:instrText xml:space="preserve"> HYPERLINK \l "_Toc80652883" </w:instrText>
          </w:r>
          <w:r>
            <w:fldChar w:fldCharType="separate"/>
          </w:r>
          <w:r>
            <w:rPr>
              <w:rStyle w:val="15"/>
              <w:rFonts w:ascii="黑体" w:hAnsi="黑体" w:eastAsia="黑体"/>
              <w:b w:val="0"/>
              <w:bCs w:val="0"/>
              <w:color w:val="auto"/>
              <w:lang w:val="en-US"/>
            </w:rPr>
            <w:t>第三部分  重点任务与主要工作</w:t>
          </w:r>
          <w:r>
            <w:rPr>
              <w:rFonts w:ascii="黑体" w:hAnsi="黑体" w:eastAsia="黑体"/>
              <w:b w:val="0"/>
              <w:bCs w:val="0"/>
            </w:rPr>
            <w:tab/>
          </w:r>
          <w:r>
            <w:rPr>
              <w:rFonts w:ascii="黑体" w:hAnsi="黑体" w:eastAsia="黑体"/>
              <w:b w:val="0"/>
              <w:bCs w:val="0"/>
            </w:rPr>
            <w:t>1</w:t>
          </w:r>
          <w:r>
            <w:rPr>
              <w:rFonts w:hint="eastAsia" w:ascii="黑体" w:hAnsi="黑体" w:eastAsia="黑体"/>
              <w:b w:val="0"/>
              <w:bCs w:val="0"/>
              <w:lang w:val="en-US"/>
            </w:rPr>
            <w:t>0</w:t>
          </w:r>
          <w:r>
            <w:rPr>
              <w:rFonts w:hint="eastAsia" w:ascii="黑体" w:hAnsi="黑体" w:eastAsia="黑体"/>
              <w:b w:val="0"/>
              <w:bCs w:val="0"/>
              <w:lang w:val="en-US"/>
            </w:rPr>
            <w:fldChar w:fldCharType="end"/>
          </w:r>
        </w:p>
        <w:p>
          <w:pPr>
            <w:pStyle w:val="11"/>
            <w:tabs>
              <w:tab w:val="right" w:leader="dot" w:pos="8840"/>
            </w:tabs>
            <w:spacing w:line="300" w:lineRule="exact"/>
            <w:rPr>
              <w:rFonts w:cstheme="minorBidi"/>
              <w:b/>
              <w:bCs/>
              <w:kern w:val="2"/>
              <w:lang w:val="en-US" w:bidi="ar-SA"/>
            </w:rPr>
          </w:pPr>
          <w:r>
            <w:fldChar w:fldCharType="begin"/>
          </w:r>
          <w:r>
            <w:instrText xml:space="preserve"> HYPERLINK \l "_Toc80652884" </w:instrText>
          </w:r>
          <w:r>
            <w:fldChar w:fldCharType="separate"/>
          </w:r>
          <w:r>
            <w:rPr>
              <w:rStyle w:val="15"/>
              <w:rFonts w:cs="黑体"/>
              <w:b/>
              <w:bCs/>
              <w:color w:val="auto"/>
              <w:lang w:val="en-US"/>
            </w:rPr>
            <w:t>一、重点任务</w:t>
          </w:r>
          <w:r>
            <w:rPr>
              <w:rStyle w:val="15"/>
              <w:rFonts w:cs="黑体"/>
              <w:b/>
              <w:bCs/>
              <w:color w:val="auto"/>
              <w:lang w:val="en-US"/>
            </w:rPr>
            <w:fldChar w:fldCharType="end"/>
          </w:r>
        </w:p>
        <w:p>
          <w:pPr>
            <w:pStyle w:val="7"/>
            <w:tabs>
              <w:tab w:val="right" w:leader="dot" w:pos="8840"/>
            </w:tabs>
            <w:spacing w:line="300" w:lineRule="exact"/>
            <w:rPr>
              <w:rFonts w:cstheme="minorBidi"/>
              <w:b w:val="0"/>
              <w:bCs w:val="0"/>
              <w:i w:val="0"/>
              <w:iCs/>
              <w:kern w:val="2"/>
              <w:sz w:val="32"/>
              <w:szCs w:val="32"/>
              <w:lang w:val="en-US" w:bidi="ar-SA"/>
            </w:rPr>
          </w:pPr>
          <w:r>
            <w:fldChar w:fldCharType="begin"/>
          </w:r>
          <w:r>
            <w:instrText xml:space="preserve"> HYPERLINK \l "_Toc80652885" </w:instrText>
          </w:r>
          <w:r>
            <w:fldChar w:fldCharType="separate"/>
          </w:r>
          <w:r>
            <w:rPr>
              <w:rStyle w:val="15"/>
              <w:b w:val="0"/>
              <w:bCs w:val="0"/>
              <w:i w:val="0"/>
              <w:iCs/>
              <w:color w:val="auto"/>
              <w:sz w:val="32"/>
              <w:szCs w:val="32"/>
              <w:lang w:val="en-US"/>
            </w:rPr>
            <w:t>（一）硕士领域拓展工程</w:t>
          </w:r>
          <w:r>
            <w:rPr>
              <w:rStyle w:val="15"/>
              <w:b w:val="0"/>
              <w:bCs w:val="0"/>
              <w:i w:val="0"/>
              <w:iCs/>
              <w:color w:val="auto"/>
              <w:sz w:val="32"/>
              <w:szCs w:val="32"/>
              <w:lang w:val="en-US"/>
            </w:rPr>
            <w:fldChar w:fldCharType="end"/>
          </w:r>
        </w:p>
        <w:p>
          <w:pPr>
            <w:pStyle w:val="7"/>
            <w:tabs>
              <w:tab w:val="right" w:leader="dot" w:pos="8840"/>
            </w:tabs>
            <w:spacing w:line="300" w:lineRule="exact"/>
            <w:rPr>
              <w:rFonts w:cstheme="minorBidi"/>
              <w:b w:val="0"/>
              <w:bCs w:val="0"/>
              <w:i w:val="0"/>
              <w:iCs/>
              <w:kern w:val="2"/>
              <w:sz w:val="32"/>
              <w:szCs w:val="32"/>
              <w:lang w:val="en-US" w:bidi="ar-SA"/>
            </w:rPr>
          </w:pPr>
          <w:r>
            <w:fldChar w:fldCharType="begin"/>
          </w:r>
          <w:r>
            <w:instrText xml:space="preserve"> HYPERLINK \l "_Toc80652886" </w:instrText>
          </w:r>
          <w:r>
            <w:fldChar w:fldCharType="separate"/>
          </w:r>
          <w:r>
            <w:rPr>
              <w:rStyle w:val="15"/>
              <w:b w:val="0"/>
              <w:bCs w:val="0"/>
              <w:i w:val="0"/>
              <w:iCs/>
              <w:color w:val="auto"/>
              <w:sz w:val="32"/>
              <w:szCs w:val="32"/>
              <w:lang w:val="en-US"/>
            </w:rPr>
            <w:t>（二）培养质量提升工程</w:t>
          </w:r>
          <w:r>
            <w:rPr>
              <w:rStyle w:val="15"/>
              <w:b w:val="0"/>
              <w:bCs w:val="0"/>
              <w:i w:val="0"/>
              <w:iCs/>
              <w:color w:val="auto"/>
              <w:sz w:val="32"/>
              <w:szCs w:val="32"/>
              <w:lang w:val="en-US"/>
            </w:rPr>
            <w:fldChar w:fldCharType="end"/>
          </w:r>
        </w:p>
        <w:p>
          <w:pPr>
            <w:pStyle w:val="7"/>
            <w:tabs>
              <w:tab w:val="right" w:leader="dot" w:pos="8840"/>
            </w:tabs>
            <w:spacing w:line="300" w:lineRule="exact"/>
            <w:rPr>
              <w:rFonts w:cstheme="minorBidi"/>
              <w:b w:val="0"/>
              <w:bCs w:val="0"/>
              <w:i w:val="0"/>
              <w:iCs/>
              <w:kern w:val="2"/>
              <w:sz w:val="32"/>
              <w:szCs w:val="32"/>
              <w:lang w:val="en-US" w:bidi="ar-SA"/>
            </w:rPr>
          </w:pPr>
          <w:r>
            <w:fldChar w:fldCharType="begin"/>
          </w:r>
          <w:r>
            <w:instrText xml:space="preserve"> HYPERLINK \l "_Toc80652887" </w:instrText>
          </w:r>
          <w:r>
            <w:fldChar w:fldCharType="separate"/>
          </w:r>
          <w:r>
            <w:rPr>
              <w:rStyle w:val="15"/>
              <w:b w:val="0"/>
              <w:bCs w:val="0"/>
              <w:i w:val="0"/>
              <w:iCs/>
              <w:color w:val="auto"/>
              <w:sz w:val="32"/>
              <w:szCs w:val="32"/>
              <w:lang w:val="en-US"/>
            </w:rPr>
            <w:t>（三）师资团队优化工程</w:t>
          </w:r>
          <w:r>
            <w:rPr>
              <w:rStyle w:val="15"/>
              <w:b w:val="0"/>
              <w:bCs w:val="0"/>
              <w:i w:val="0"/>
              <w:iCs/>
              <w:color w:val="auto"/>
              <w:sz w:val="32"/>
              <w:szCs w:val="32"/>
              <w:lang w:val="en-US"/>
            </w:rPr>
            <w:fldChar w:fldCharType="end"/>
          </w:r>
        </w:p>
        <w:p>
          <w:pPr>
            <w:pStyle w:val="7"/>
            <w:tabs>
              <w:tab w:val="right" w:leader="dot" w:pos="8840"/>
            </w:tabs>
            <w:spacing w:line="300" w:lineRule="exact"/>
            <w:rPr>
              <w:rFonts w:cstheme="minorBidi"/>
              <w:b w:val="0"/>
              <w:bCs w:val="0"/>
              <w:i w:val="0"/>
              <w:iCs/>
              <w:kern w:val="2"/>
              <w:sz w:val="32"/>
              <w:szCs w:val="32"/>
              <w:lang w:val="en-US" w:bidi="ar-SA"/>
            </w:rPr>
          </w:pPr>
          <w:r>
            <w:fldChar w:fldCharType="begin"/>
          </w:r>
          <w:r>
            <w:instrText xml:space="preserve"> HYPERLINK \l "_Toc80652888" </w:instrText>
          </w:r>
          <w:r>
            <w:fldChar w:fldCharType="separate"/>
          </w:r>
          <w:r>
            <w:rPr>
              <w:rStyle w:val="15"/>
              <w:b w:val="0"/>
              <w:bCs w:val="0"/>
              <w:i w:val="0"/>
              <w:iCs/>
              <w:color w:val="auto"/>
              <w:sz w:val="32"/>
              <w:szCs w:val="32"/>
              <w:lang w:val="en-US"/>
            </w:rPr>
            <w:t>（四）科学研究创新工程</w:t>
          </w:r>
          <w:r>
            <w:rPr>
              <w:rStyle w:val="15"/>
              <w:b w:val="0"/>
              <w:bCs w:val="0"/>
              <w:i w:val="0"/>
              <w:iCs/>
              <w:color w:val="auto"/>
              <w:sz w:val="32"/>
              <w:szCs w:val="32"/>
              <w:lang w:val="en-US"/>
            </w:rPr>
            <w:fldChar w:fldCharType="end"/>
          </w:r>
        </w:p>
        <w:p>
          <w:pPr>
            <w:pStyle w:val="7"/>
            <w:tabs>
              <w:tab w:val="right" w:leader="dot" w:pos="8840"/>
            </w:tabs>
            <w:spacing w:line="300" w:lineRule="exact"/>
            <w:rPr>
              <w:rFonts w:cstheme="minorBidi"/>
              <w:b w:val="0"/>
              <w:bCs w:val="0"/>
              <w:i w:val="0"/>
              <w:iCs/>
              <w:kern w:val="2"/>
              <w:sz w:val="32"/>
              <w:szCs w:val="32"/>
              <w:lang w:val="en-US" w:bidi="ar-SA"/>
            </w:rPr>
          </w:pPr>
          <w:r>
            <w:fldChar w:fldCharType="begin"/>
          </w:r>
          <w:r>
            <w:instrText xml:space="preserve"> HYPERLINK \l "_Toc80652889" </w:instrText>
          </w:r>
          <w:r>
            <w:fldChar w:fldCharType="separate"/>
          </w:r>
          <w:r>
            <w:rPr>
              <w:rStyle w:val="15"/>
              <w:b w:val="0"/>
              <w:bCs w:val="0"/>
              <w:i w:val="0"/>
              <w:iCs/>
              <w:color w:val="auto"/>
              <w:sz w:val="32"/>
              <w:szCs w:val="32"/>
              <w:lang w:val="en-US"/>
            </w:rPr>
            <w:t>（五）服务地方接</w:t>
          </w:r>
          <w:r>
            <w:rPr>
              <w:rStyle w:val="15"/>
              <w:b w:val="0"/>
              <w:bCs w:val="0"/>
              <w:i w:val="0"/>
              <w:iCs/>
              <w:color w:val="auto"/>
              <w:sz w:val="32"/>
              <w:szCs w:val="32"/>
              <w:lang w:val="en-US"/>
            </w:rPr>
            <w:fldChar w:fldCharType="end"/>
          </w:r>
          <w:r>
            <w:rPr>
              <w:rFonts w:hint="eastAsia"/>
              <w:b w:val="0"/>
              <w:bCs w:val="0"/>
              <w:i w:val="0"/>
              <w:iCs/>
              <w:sz w:val="32"/>
              <w:szCs w:val="32"/>
            </w:rPr>
            <w:t>轨工程</w:t>
          </w:r>
        </w:p>
        <w:p>
          <w:pPr>
            <w:pStyle w:val="11"/>
            <w:tabs>
              <w:tab w:val="right" w:leader="dot" w:pos="8840"/>
            </w:tabs>
            <w:spacing w:line="300" w:lineRule="exact"/>
            <w:rPr>
              <w:rFonts w:cstheme="minorBidi"/>
              <w:b/>
              <w:bCs/>
              <w:kern w:val="2"/>
              <w:lang w:val="en-US" w:bidi="ar-SA"/>
            </w:rPr>
          </w:pPr>
          <w:r>
            <w:fldChar w:fldCharType="begin"/>
          </w:r>
          <w:r>
            <w:instrText xml:space="preserve"> HYPERLINK \l "_Toc80652890" </w:instrText>
          </w:r>
          <w:r>
            <w:fldChar w:fldCharType="separate"/>
          </w:r>
          <w:r>
            <w:rPr>
              <w:rStyle w:val="15"/>
              <w:rFonts w:cs="黑体"/>
              <w:b/>
              <w:bCs/>
              <w:color w:val="auto"/>
              <w:lang w:val="en-US"/>
            </w:rPr>
            <w:t>二、主要工作</w:t>
          </w:r>
          <w:r>
            <w:rPr>
              <w:rStyle w:val="15"/>
              <w:rFonts w:cs="黑体"/>
              <w:b/>
              <w:bCs/>
              <w:color w:val="auto"/>
              <w:lang w:val="en-US"/>
            </w:rPr>
            <w:fldChar w:fldCharType="end"/>
          </w:r>
        </w:p>
        <w:p>
          <w:pPr>
            <w:pStyle w:val="7"/>
            <w:tabs>
              <w:tab w:val="right" w:leader="dot" w:pos="8840"/>
            </w:tabs>
            <w:spacing w:line="300" w:lineRule="exact"/>
            <w:rPr>
              <w:rFonts w:cstheme="minorBidi"/>
              <w:b w:val="0"/>
              <w:bCs w:val="0"/>
              <w:i w:val="0"/>
              <w:iCs/>
              <w:kern w:val="2"/>
              <w:sz w:val="32"/>
              <w:szCs w:val="32"/>
              <w:lang w:val="en-US" w:bidi="ar-SA"/>
            </w:rPr>
          </w:pPr>
          <w:r>
            <w:fldChar w:fldCharType="begin"/>
          </w:r>
          <w:r>
            <w:instrText xml:space="preserve"> HYPERLINK \l "_Toc80652891" </w:instrText>
          </w:r>
          <w:r>
            <w:fldChar w:fldCharType="separate"/>
          </w:r>
          <w:r>
            <w:rPr>
              <w:rStyle w:val="15"/>
              <w:b w:val="0"/>
              <w:bCs w:val="0"/>
              <w:i w:val="0"/>
              <w:iCs/>
              <w:color w:val="auto"/>
              <w:sz w:val="32"/>
              <w:szCs w:val="32"/>
              <w:lang w:val="en-US"/>
            </w:rPr>
            <w:t>（一）人才引育有作为，团队结构再优化</w:t>
          </w:r>
          <w:r>
            <w:rPr>
              <w:rStyle w:val="15"/>
              <w:b w:val="0"/>
              <w:bCs w:val="0"/>
              <w:i w:val="0"/>
              <w:iCs/>
              <w:color w:val="auto"/>
              <w:sz w:val="32"/>
              <w:szCs w:val="32"/>
              <w:lang w:val="en-US"/>
            </w:rPr>
            <w:fldChar w:fldCharType="end"/>
          </w:r>
        </w:p>
        <w:p>
          <w:pPr>
            <w:pStyle w:val="7"/>
            <w:tabs>
              <w:tab w:val="right" w:leader="dot" w:pos="8840"/>
            </w:tabs>
            <w:spacing w:line="300" w:lineRule="exact"/>
            <w:rPr>
              <w:rFonts w:cstheme="minorBidi"/>
              <w:b w:val="0"/>
              <w:bCs w:val="0"/>
              <w:i w:val="0"/>
              <w:iCs/>
              <w:kern w:val="2"/>
              <w:sz w:val="32"/>
              <w:szCs w:val="32"/>
              <w:lang w:val="en-US" w:bidi="ar-SA"/>
            </w:rPr>
          </w:pPr>
          <w:r>
            <w:fldChar w:fldCharType="begin"/>
          </w:r>
          <w:r>
            <w:instrText xml:space="preserve"> HYPERLINK \l "_Toc80652892" </w:instrText>
          </w:r>
          <w:r>
            <w:fldChar w:fldCharType="separate"/>
          </w:r>
          <w:r>
            <w:rPr>
              <w:rStyle w:val="15"/>
              <w:b w:val="0"/>
              <w:bCs w:val="0"/>
              <w:i w:val="0"/>
              <w:iCs/>
              <w:color w:val="auto"/>
              <w:sz w:val="32"/>
              <w:szCs w:val="32"/>
              <w:lang w:val="en-US"/>
            </w:rPr>
            <w:t>（二）学科建设渐行稳，硕士领域全覆盖</w:t>
          </w:r>
          <w:r>
            <w:rPr>
              <w:rStyle w:val="15"/>
              <w:b w:val="0"/>
              <w:bCs w:val="0"/>
              <w:i w:val="0"/>
              <w:iCs/>
              <w:color w:val="auto"/>
              <w:sz w:val="32"/>
              <w:szCs w:val="32"/>
              <w:lang w:val="en-US"/>
            </w:rPr>
            <w:fldChar w:fldCharType="end"/>
          </w:r>
        </w:p>
        <w:p>
          <w:pPr>
            <w:pStyle w:val="7"/>
            <w:tabs>
              <w:tab w:val="right" w:leader="dot" w:pos="8840"/>
            </w:tabs>
            <w:spacing w:line="300" w:lineRule="exact"/>
            <w:rPr>
              <w:rFonts w:cstheme="minorBidi"/>
              <w:b w:val="0"/>
              <w:bCs w:val="0"/>
              <w:i w:val="0"/>
              <w:iCs/>
              <w:kern w:val="2"/>
              <w:sz w:val="32"/>
              <w:szCs w:val="32"/>
              <w:lang w:val="en-US" w:bidi="ar-SA"/>
            </w:rPr>
          </w:pPr>
          <w:r>
            <w:fldChar w:fldCharType="begin"/>
          </w:r>
          <w:r>
            <w:instrText xml:space="preserve"> HYPERLINK \l "_Toc80652893" </w:instrText>
          </w:r>
          <w:r>
            <w:fldChar w:fldCharType="separate"/>
          </w:r>
          <w:r>
            <w:rPr>
              <w:rStyle w:val="15"/>
              <w:b w:val="0"/>
              <w:bCs w:val="0"/>
              <w:i w:val="0"/>
              <w:iCs/>
              <w:color w:val="auto"/>
              <w:sz w:val="32"/>
              <w:szCs w:val="32"/>
              <w:lang w:val="en-US"/>
            </w:rPr>
            <w:t>（三）科学研究有创新，研究成果创新高</w:t>
          </w:r>
          <w:r>
            <w:rPr>
              <w:rStyle w:val="15"/>
              <w:b w:val="0"/>
              <w:bCs w:val="0"/>
              <w:i w:val="0"/>
              <w:iCs/>
              <w:color w:val="auto"/>
              <w:sz w:val="32"/>
              <w:szCs w:val="32"/>
              <w:lang w:val="en-US"/>
            </w:rPr>
            <w:fldChar w:fldCharType="end"/>
          </w:r>
        </w:p>
        <w:p>
          <w:pPr>
            <w:pStyle w:val="7"/>
            <w:tabs>
              <w:tab w:val="right" w:leader="dot" w:pos="8840"/>
            </w:tabs>
            <w:spacing w:line="300" w:lineRule="exact"/>
            <w:rPr>
              <w:rFonts w:cstheme="minorBidi"/>
              <w:b w:val="0"/>
              <w:bCs w:val="0"/>
              <w:i w:val="0"/>
              <w:iCs/>
              <w:kern w:val="2"/>
              <w:sz w:val="32"/>
              <w:szCs w:val="32"/>
              <w:lang w:val="en-US" w:bidi="ar-SA"/>
            </w:rPr>
          </w:pPr>
          <w:r>
            <w:fldChar w:fldCharType="begin"/>
          </w:r>
          <w:r>
            <w:instrText xml:space="preserve"> HYPERLINK \l "_Toc80652894" </w:instrText>
          </w:r>
          <w:r>
            <w:fldChar w:fldCharType="separate"/>
          </w:r>
          <w:r>
            <w:rPr>
              <w:rStyle w:val="15"/>
              <w:b w:val="0"/>
              <w:bCs w:val="0"/>
              <w:i w:val="0"/>
              <w:iCs/>
              <w:color w:val="auto"/>
              <w:sz w:val="32"/>
              <w:szCs w:val="32"/>
              <w:lang w:val="en-US"/>
            </w:rPr>
            <w:t>（四）人才培养重内涵，教学成果新突破</w:t>
          </w:r>
          <w:r>
            <w:rPr>
              <w:rStyle w:val="15"/>
              <w:b w:val="0"/>
              <w:bCs w:val="0"/>
              <w:i w:val="0"/>
              <w:iCs/>
              <w:color w:val="auto"/>
              <w:sz w:val="32"/>
              <w:szCs w:val="32"/>
              <w:lang w:val="en-US"/>
            </w:rPr>
            <w:fldChar w:fldCharType="end"/>
          </w:r>
        </w:p>
        <w:p>
          <w:pPr>
            <w:pStyle w:val="7"/>
            <w:tabs>
              <w:tab w:val="right" w:leader="dot" w:pos="8840"/>
            </w:tabs>
            <w:spacing w:line="300" w:lineRule="exact"/>
            <w:rPr>
              <w:rFonts w:cstheme="minorBidi"/>
              <w:b w:val="0"/>
              <w:bCs w:val="0"/>
              <w:i w:val="0"/>
              <w:iCs/>
              <w:kern w:val="2"/>
              <w:sz w:val="32"/>
              <w:szCs w:val="32"/>
              <w:lang w:val="en-US" w:bidi="ar-SA"/>
            </w:rPr>
          </w:pPr>
          <w:r>
            <w:fldChar w:fldCharType="begin"/>
          </w:r>
          <w:r>
            <w:instrText xml:space="preserve"> HYPERLINK \l "_Toc80652895" </w:instrText>
          </w:r>
          <w:r>
            <w:fldChar w:fldCharType="separate"/>
          </w:r>
          <w:r>
            <w:rPr>
              <w:rStyle w:val="15"/>
              <w:b w:val="0"/>
              <w:bCs w:val="0"/>
              <w:i w:val="0"/>
              <w:iCs/>
              <w:color w:val="auto"/>
              <w:sz w:val="32"/>
              <w:szCs w:val="32"/>
              <w:lang w:val="en-US"/>
            </w:rPr>
            <w:t>（五）党建思政思路新，凝心聚力保发展</w:t>
          </w:r>
          <w:r>
            <w:rPr>
              <w:rStyle w:val="15"/>
              <w:b w:val="0"/>
              <w:bCs w:val="0"/>
              <w:i w:val="0"/>
              <w:iCs/>
              <w:color w:val="auto"/>
              <w:sz w:val="32"/>
              <w:szCs w:val="32"/>
              <w:lang w:val="en-US"/>
            </w:rPr>
            <w:fldChar w:fldCharType="end"/>
          </w:r>
        </w:p>
        <w:p>
          <w:pPr>
            <w:pStyle w:val="7"/>
            <w:tabs>
              <w:tab w:val="right" w:leader="dot" w:pos="8840"/>
            </w:tabs>
            <w:spacing w:line="300" w:lineRule="exact"/>
            <w:rPr>
              <w:rFonts w:cstheme="minorBidi"/>
              <w:b w:val="0"/>
              <w:bCs w:val="0"/>
              <w:i w:val="0"/>
              <w:iCs/>
              <w:kern w:val="2"/>
              <w:sz w:val="32"/>
              <w:szCs w:val="32"/>
              <w:lang w:val="en-US" w:bidi="ar-SA"/>
            </w:rPr>
          </w:pPr>
          <w:r>
            <w:fldChar w:fldCharType="begin"/>
          </w:r>
          <w:r>
            <w:instrText xml:space="preserve"> HYPERLINK \l "_Toc80652896" </w:instrText>
          </w:r>
          <w:r>
            <w:fldChar w:fldCharType="separate"/>
          </w:r>
          <w:r>
            <w:rPr>
              <w:rStyle w:val="15"/>
              <w:b w:val="0"/>
              <w:bCs w:val="0"/>
              <w:i w:val="0"/>
              <w:iCs/>
              <w:color w:val="auto"/>
              <w:sz w:val="32"/>
              <w:szCs w:val="32"/>
              <w:lang w:val="en-US"/>
            </w:rPr>
            <w:t>（六）育人管理</w:t>
          </w:r>
          <w:r>
            <w:rPr>
              <w:rStyle w:val="15"/>
              <w:rFonts w:hint="eastAsia"/>
              <w:b w:val="0"/>
              <w:bCs w:val="0"/>
              <w:i w:val="0"/>
              <w:iCs/>
              <w:color w:val="auto"/>
              <w:sz w:val="32"/>
              <w:szCs w:val="32"/>
              <w:lang w:val="en-US"/>
            </w:rPr>
            <w:t>重</w:t>
          </w:r>
          <w:r>
            <w:rPr>
              <w:rStyle w:val="15"/>
              <w:b w:val="0"/>
              <w:bCs w:val="0"/>
              <w:i w:val="0"/>
              <w:iCs/>
              <w:color w:val="auto"/>
              <w:sz w:val="32"/>
              <w:szCs w:val="32"/>
              <w:lang w:val="en-US"/>
            </w:rPr>
            <w:t>规范，助力</w:t>
          </w:r>
          <w:r>
            <w:rPr>
              <w:rStyle w:val="15"/>
              <w:rFonts w:hint="eastAsia"/>
              <w:b w:val="0"/>
              <w:bCs w:val="0"/>
              <w:i w:val="0"/>
              <w:iCs/>
              <w:color w:val="auto"/>
              <w:sz w:val="32"/>
              <w:szCs w:val="32"/>
              <w:lang w:val="en-US"/>
            </w:rPr>
            <w:t>大</w:t>
          </w:r>
          <w:r>
            <w:rPr>
              <w:rStyle w:val="15"/>
              <w:b w:val="0"/>
              <w:bCs w:val="0"/>
              <w:i w:val="0"/>
              <w:iCs/>
              <w:color w:val="auto"/>
              <w:sz w:val="32"/>
              <w:szCs w:val="32"/>
              <w:lang w:val="en-US"/>
            </w:rPr>
            <w:t>学生成长</w:t>
          </w:r>
          <w:r>
            <w:rPr>
              <w:rStyle w:val="15"/>
              <w:b w:val="0"/>
              <w:bCs w:val="0"/>
              <w:i w:val="0"/>
              <w:iCs/>
              <w:color w:val="auto"/>
              <w:sz w:val="32"/>
              <w:szCs w:val="32"/>
              <w:lang w:val="en-US"/>
            </w:rPr>
            <w:fldChar w:fldCharType="end"/>
          </w:r>
        </w:p>
        <w:p>
          <w:pPr>
            <w:pStyle w:val="7"/>
            <w:tabs>
              <w:tab w:val="right" w:leader="dot" w:pos="8840"/>
            </w:tabs>
            <w:spacing w:line="300" w:lineRule="exact"/>
            <w:rPr>
              <w:rFonts w:cstheme="minorBidi"/>
              <w:b w:val="0"/>
              <w:bCs w:val="0"/>
              <w:i w:val="0"/>
              <w:iCs/>
              <w:kern w:val="2"/>
              <w:sz w:val="32"/>
              <w:szCs w:val="32"/>
              <w:lang w:val="en-US" w:bidi="ar-SA"/>
            </w:rPr>
          </w:pPr>
          <w:r>
            <w:fldChar w:fldCharType="begin"/>
          </w:r>
          <w:r>
            <w:instrText xml:space="preserve"> HYPERLINK \l "_Toc80652897" </w:instrText>
          </w:r>
          <w:r>
            <w:fldChar w:fldCharType="separate"/>
          </w:r>
          <w:r>
            <w:rPr>
              <w:rStyle w:val="15"/>
              <w:b w:val="0"/>
              <w:bCs w:val="0"/>
              <w:i w:val="0"/>
              <w:iCs/>
              <w:color w:val="auto"/>
              <w:sz w:val="32"/>
              <w:szCs w:val="32"/>
              <w:lang w:val="en-US"/>
            </w:rPr>
            <w:t>（七）文化建设新举措，社会影响效应强</w:t>
          </w:r>
          <w:r>
            <w:rPr>
              <w:rStyle w:val="15"/>
              <w:b w:val="0"/>
              <w:bCs w:val="0"/>
              <w:i w:val="0"/>
              <w:iCs/>
              <w:color w:val="auto"/>
              <w:sz w:val="32"/>
              <w:szCs w:val="32"/>
              <w:lang w:val="en-US"/>
            </w:rPr>
            <w:fldChar w:fldCharType="end"/>
          </w:r>
        </w:p>
        <w:p>
          <w:pPr>
            <w:pStyle w:val="7"/>
            <w:tabs>
              <w:tab w:val="right" w:leader="dot" w:pos="8840"/>
            </w:tabs>
            <w:spacing w:line="300" w:lineRule="exact"/>
            <w:rPr>
              <w:rFonts w:cstheme="minorBidi"/>
              <w:b w:val="0"/>
              <w:bCs w:val="0"/>
              <w:i w:val="0"/>
              <w:kern w:val="2"/>
              <w:sz w:val="32"/>
              <w:szCs w:val="32"/>
              <w:lang w:val="en-US" w:bidi="ar-SA"/>
            </w:rPr>
          </w:pPr>
          <w:r>
            <w:fldChar w:fldCharType="begin"/>
          </w:r>
          <w:r>
            <w:instrText xml:space="preserve"> HYPERLINK \l "_Toc80652898" </w:instrText>
          </w:r>
          <w:r>
            <w:fldChar w:fldCharType="separate"/>
          </w:r>
          <w:r>
            <w:rPr>
              <w:rStyle w:val="15"/>
              <w:b w:val="0"/>
              <w:bCs w:val="0"/>
              <w:i w:val="0"/>
              <w:iCs/>
              <w:color w:val="auto"/>
              <w:sz w:val="32"/>
              <w:szCs w:val="32"/>
              <w:lang w:val="en-US"/>
            </w:rPr>
            <w:t>（八）管理服务强意识，量化考核精细化</w:t>
          </w:r>
          <w:r>
            <w:rPr>
              <w:rStyle w:val="15"/>
              <w:b w:val="0"/>
              <w:bCs w:val="0"/>
              <w:i w:val="0"/>
              <w:iCs/>
              <w:color w:val="auto"/>
              <w:sz w:val="32"/>
              <w:szCs w:val="32"/>
              <w:lang w:val="en-US"/>
            </w:rPr>
            <w:fldChar w:fldCharType="end"/>
          </w:r>
        </w:p>
        <w:p>
          <w:pPr>
            <w:pStyle w:val="10"/>
            <w:tabs>
              <w:tab w:val="right" w:leader="dot" w:pos="8840"/>
            </w:tabs>
            <w:spacing w:line="300" w:lineRule="exact"/>
            <w:rPr>
              <w:rStyle w:val="15"/>
              <w:rFonts w:ascii="黑体" w:hAnsi="黑体" w:eastAsia="黑体" w:cs="黑体"/>
              <w:b w:val="0"/>
              <w:bCs w:val="0"/>
              <w:color w:val="auto"/>
              <w:lang w:val="en-US"/>
            </w:rPr>
          </w:pPr>
          <w:r>
            <w:fldChar w:fldCharType="begin"/>
          </w:r>
          <w:r>
            <w:instrText xml:space="preserve"> HYPERLINK \l "_Toc80652899" </w:instrText>
          </w:r>
          <w:r>
            <w:fldChar w:fldCharType="separate"/>
          </w:r>
          <w:r>
            <w:rPr>
              <w:rStyle w:val="15"/>
              <w:rFonts w:hint="eastAsia" w:ascii="黑体" w:hAnsi="黑体" w:eastAsia="黑体" w:cs="黑体"/>
              <w:b w:val="0"/>
              <w:bCs w:val="0"/>
              <w:color w:val="auto"/>
              <w:lang w:val="en-US"/>
            </w:rPr>
            <w:t>结语</w:t>
          </w:r>
          <w:r>
            <w:rPr>
              <w:rStyle w:val="15"/>
              <w:rFonts w:ascii="黑体" w:hAnsi="黑体" w:eastAsia="黑体" w:cs="黑体"/>
              <w:b w:val="0"/>
              <w:bCs w:val="0"/>
              <w:color w:val="auto"/>
              <w:lang w:val="en-US"/>
            </w:rPr>
            <w:tab/>
          </w:r>
          <w:r>
            <w:rPr>
              <w:rStyle w:val="15"/>
              <w:rFonts w:hint="eastAsia" w:ascii="黑体" w:hAnsi="黑体" w:eastAsia="黑体" w:cs="黑体"/>
              <w:b w:val="0"/>
              <w:bCs w:val="0"/>
              <w:color w:val="auto"/>
              <w:lang w:val="en-US"/>
            </w:rPr>
            <w:t>1</w:t>
          </w:r>
          <w:r>
            <w:rPr>
              <w:rStyle w:val="15"/>
              <w:rFonts w:hint="eastAsia" w:ascii="黑体" w:hAnsi="黑体" w:eastAsia="黑体" w:cs="黑体"/>
              <w:b w:val="0"/>
              <w:bCs w:val="0"/>
              <w:color w:val="auto"/>
              <w:lang w:val="en-US"/>
            </w:rPr>
            <w:fldChar w:fldCharType="end"/>
          </w:r>
          <w:r>
            <w:rPr>
              <w:rStyle w:val="15"/>
              <w:rFonts w:hint="eastAsia" w:ascii="黑体" w:hAnsi="黑体" w:eastAsia="黑体" w:cs="黑体"/>
              <w:b w:val="0"/>
              <w:bCs w:val="0"/>
              <w:color w:val="auto"/>
              <w:lang w:val="en-US"/>
            </w:rPr>
            <w:t>8</w:t>
          </w:r>
        </w:p>
        <w:p>
          <w:pPr>
            <w:spacing w:line="300" w:lineRule="exact"/>
            <w:jc w:val="both"/>
            <w:rPr>
              <w:sz w:val="30"/>
              <w:szCs w:val="30"/>
            </w:rPr>
            <w:sectPr>
              <w:footerReference r:id="rId4" w:type="default"/>
              <w:pgSz w:w="11910" w:h="16840"/>
              <w:pgMar w:top="1500" w:right="1380" w:bottom="1380" w:left="1680" w:header="852" w:footer="1196" w:gutter="0"/>
              <w:pgNumType w:fmt="numberInDash" w:start="1"/>
              <w:cols w:space="720" w:num="1"/>
            </w:sectPr>
          </w:pPr>
          <w:r>
            <w:rPr>
              <w:rFonts w:hint="eastAsia"/>
              <w:sz w:val="32"/>
              <w:szCs w:val="32"/>
            </w:rPr>
            <w:fldChar w:fldCharType="end"/>
          </w:r>
        </w:p>
      </w:sdtContent>
    </w:sdt>
    <w:p>
      <w:pPr>
        <w:spacing w:line="360" w:lineRule="auto"/>
        <w:jc w:val="center"/>
        <w:outlineLvl w:val="0"/>
        <w:rPr>
          <w:rFonts w:ascii="华文中宋" w:hAnsi="华文中宋" w:eastAsia="华文中宋" w:cs="华文中宋"/>
          <w:b/>
          <w:bCs/>
          <w:sz w:val="36"/>
          <w:szCs w:val="36"/>
        </w:rPr>
      </w:pPr>
      <w:bookmarkStart w:id="0" w:name="_Toc80652866"/>
      <w:r>
        <w:rPr>
          <w:rFonts w:hint="eastAsia" w:ascii="华文中宋" w:hAnsi="华文中宋" w:eastAsia="华文中宋" w:cs="华文中宋"/>
          <w:b/>
          <w:bCs/>
          <w:sz w:val="36"/>
          <w:szCs w:val="36"/>
        </w:rPr>
        <w:t>序</w:t>
      </w:r>
      <w:r>
        <w:rPr>
          <w:rFonts w:hint="eastAsia" w:ascii="华文中宋" w:hAnsi="华文中宋" w:eastAsia="华文中宋" w:cs="华文中宋"/>
          <w:b/>
          <w:bCs/>
          <w:sz w:val="36"/>
          <w:szCs w:val="36"/>
          <w:lang w:val="en-US"/>
        </w:rPr>
        <w:t xml:space="preserve"> </w:t>
      </w:r>
      <w:r>
        <w:rPr>
          <w:rFonts w:hint="eastAsia" w:ascii="华文中宋" w:hAnsi="华文中宋" w:eastAsia="华文中宋" w:cs="华文中宋"/>
          <w:b/>
          <w:bCs/>
          <w:sz w:val="36"/>
          <w:szCs w:val="36"/>
        </w:rPr>
        <w:t>言</w:t>
      </w:r>
      <w:bookmarkEnd w:id="0"/>
    </w:p>
    <w:p>
      <w:pPr>
        <w:spacing w:line="520" w:lineRule="exact"/>
        <w:ind w:firstLine="640" w:firstLineChars="200"/>
        <w:jc w:val="both"/>
        <w:rPr>
          <w:sz w:val="32"/>
          <w:szCs w:val="32"/>
        </w:rPr>
      </w:pPr>
      <w:r>
        <w:rPr>
          <w:rFonts w:hint="eastAsia"/>
          <w:sz w:val="32"/>
          <w:szCs w:val="32"/>
        </w:rPr>
        <w:t>“十四五”时期是浙江省忠实践行“八八战略”、奋力打造新时代全面展示中国特色社会主义制度优越性“重要窗口”</w:t>
      </w:r>
      <w:r>
        <w:rPr>
          <w:rFonts w:hint="eastAsia"/>
          <w:sz w:val="32"/>
          <w:szCs w:val="32"/>
          <w:lang w:val="en-US"/>
        </w:rPr>
        <w:t>和</w:t>
      </w:r>
      <w:r>
        <w:rPr>
          <w:rFonts w:hint="eastAsia"/>
          <w:sz w:val="32"/>
          <w:szCs w:val="32"/>
        </w:rPr>
        <w:t>高质量发展建设“共同富裕”示范区的重要时期</w:t>
      </w:r>
      <w:r>
        <w:rPr>
          <w:rFonts w:hint="eastAsia"/>
          <w:sz w:val="32"/>
          <w:szCs w:val="32"/>
          <w:lang w:val="en-US"/>
        </w:rPr>
        <w:t>，是湖州市加快打造</w:t>
      </w:r>
      <w:r>
        <w:rPr>
          <w:rFonts w:hint="eastAsia"/>
          <w:sz w:val="32"/>
          <w:szCs w:val="32"/>
        </w:rPr>
        <w:t>“</w:t>
      </w:r>
      <w:r>
        <w:rPr>
          <w:rFonts w:hint="eastAsia"/>
          <w:sz w:val="32"/>
          <w:szCs w:val="32"/>
          <w:lang w:val="en-US"/>
        </w:rPr>
        <w:t>重要窗口</w:t>
      </w:r>
      <w:r>
        <w:rPr>
          <w:rFonts w:hint="eastAsia"/>
          <w:sz w:val="32"/>
          <w:szCs w:val="32"/>
        </w:rPr>
        <w:t>”</w:t>
      </w:r>
      <w:r>
        <w:rPr>
          <w:rFonts w:hint="eastAsia"/>
          <w:sz w:val="32"/>
          <w:szCs w:val="32"/>
          <w:lang w:val="en-US"/>
        </w:rPr>
        <w:t>示范样本，奋力打造践行绿水青山就是金山银山理念示范区，奋勇争当社会主义现代化先行省排头兵的奋力蝶变期，</w:t>
      </w:r>
      <w:r>
        <w:rPr>
          <w:rFonts w:hint="eastAsia"/>
          <w:sz w:val="32"/>
          <w:szCs w:val="32"/>
        </w:rPr>
        <w:t>也是学校全面深化改革，加快内涵发展，增强治理能力，提升核心竞争力，向着建成高水平“湖州师范大学”目标迈进的关键阶段。</w:t>
      </w:r>
    </w:p>
    <w:p>
      <w:pPr>
        <w:spacing w:line="520" w:lineRule="exact"/>
        <w:ind w:firstLine="640" w:firstLineChars="200"/>
        <w:jc w:val="both"/>
        <w:rPr>
          <w:sz w:val="32"/>
          <w:szCs w:val="32"/>
        </w:rPr>
      </w:pPr>
      <w:r>
        <w:rPr>
          <w:rFonts w:hint="eastAsia"/>
          <w:sz w:val="32"/>
          <w:szCs w:val="32"/>
        </w:rPr>
        <w:t>在“共同富裕中实现精神</w:t>
      </w:r>
      <w:r>
        <w:rPr>
          <w:rFonts w:hint="eastAsia"/>
          <w:sz w:val="32"/>
          <w:szCs w:val="32"/>
          <w:lang w:val="en-US"/>
        </w:rPr>
        <w:t>富有</w:t>
      </w:r>
      <w:r>
        <w:rPr>
          <w:rFonts w:hint="eastAsia"/>
          <w:sz w:val="32"/>
          <w:szCs w:val="32"/>
        </w:rPr>
        <w:t>”</w:t>
      </w:r>
      <w:r>
        <w:rPr>
          <w:rFonts w:hint="eastAsia"/>
          <w:sz w:val="32"/>
          <w:szCs w:val="32"/>
          <w:lang w:val="en-US"/>
        </w:rPr>
        <w:t>和</w:t>
      </w:r>
      <w:r>
        <w:rPr>
          <w:rFonts w:hint="eastAsia"/>
          <w:sz w:val="32"/>
          <w:szCs w:val="32"/>
        </w:rPr>
        <w:t>“打造新时代文化高地”的</w:t>
      </w:r>
      <w:r>
        <w:rPr>
          <w:rFonts w:hint="eastAsia"/>
          <w:sz w:val="32"/>
          <w:szCs w:val="32"/>
          <w:lang w:val="en-US"/>
        </w:rPr>
        <w:t>新目标、</w:t>
      </w:r>
      <w:r>
        <w:rPr>
          <w:rFonts w:hint="eastAsia"/>
          <w:sz w:val="32"/>
          <w:szCs w:val="32"/>
        </w:rPr>
        <w:t>新使命中，湖州</w:t>
      </w:r>
      <w:r>
        <w:rPr>
          <w:rFonts w:hint="eastAsia"/>
          <w:sz w:val="32"/>
          <w:szCs w:val="32"/>
          <w:lang w:val="en-US"/>
        </w:rPr>
        <w:t>作为历史文化名城确</w:t>
      </w:r>
      <w:r>
        <w:rPr>
          <w:rFonts w:hint="eastAsia"/>
          <w:sz w:val="32"/>
          <w:szCs w:val="32"/>
        </w:rPr>
        <w:t>需一</w:t>
      </w:r>
      <w:r>
        <w:rPr>
          <w:rFonts w:hint="eastAsia"/>
          <w:sz w:val="32"/>
          <w:szCs w:val="32"/>
          <w:lang w:val="en-US"/>
        </w:rPr>
        <w:t>座</w:t>
      </w:r>
      <w:r>
        <w:rPr>
          <w:rFonts w:hint="eastAsia"/>
          <w:sz w:val="32"/>
          <w:szCs w:val="32"/>
        </w:rPr>
        <w:t>专业学习音乐、</w:t>
      </w:r>
      <w:r>
        <w:rPr>
          <w:rFonts w:hint="eastAsia"/>
          <w:sz w:val="32"/>
          <w:szCs w:val="32"/>
          <w:lang w:val="en-US"/>
        </w:rPr>
        <w:t>戏剧的专门艺术学府</w:t>
      </w:r>
      <w:r>
        <w:rPr>
          <w:rFonts w:hint="eastAsia"/>
          <w:sz w:val="32"/>
          <w:szCs w:val="32"/>
        </w:rPr>
        <w:t>，</w:t>
      </w:r>
      <w:r>
        <w:rPr>
          <w:rFonts w:hint="eastAsia"/>
          <w:sz w:val="32"/>
          <w:szCs w:val="32"/>
          <w:lang w:val="en-US"/>
        </w:rPr>
        <w:t>因此，</w:t>
      </w:r>
      <w:r>
        <w:rPr>
          <w:rFonts w:hint="eastAsia"/>
          <w:sz w:val="32"/>
          <w:szCs w:val="32"/>
        </w:rPr>
        <w:t>湖州师范学院音乐学院在</w:t>
      </w:r>
      <w:r>
        <w:rPr>
          <w:rFonts w:hint="eastAsia"/>
          <w:sz w:val="32"/>
          <w:szCs w:val="32"/>
          <w:lang w:val="en-US"/>
        </w:rPr>
        <w:t>新时代</w:t>
      </w:r>
      <w:r>
        <w:rPr>
          <w:rFonts w:hint="eastAsia"/>
          <w:sz w:val="32"/>
          <w:szCs w:val="32"/>
        </w:rPr>
        <w:t>背景下</w:t>
      </w:r>
      <w:r>
        <w:rPr>
          <w:rFonts w:hint="eastAsia"/>
          <w:sz w:val="32"/>
          <w:szCs w:val="32"/>
          <w:lang w:val="en-US"/>
        </w:rPr>
        <w:t>全面筹建、应运而生</w:t>
      </w:r>
      <w:r>
        <w:rPr>
          <w:rFonts w:hint="eastAsia"/>
          <w:sz w:val="32"/>
          <w:szCs w:val="32"/>
        </w:rPr>
        <w:t>。二十二年来，音乐学院的前身——艺术学院音乐系在艺术学院的</w:t>
      </w:r>
      <w:r>
        <w:rPr>
          <w:rFonts w:hint="eastAsia"/>
          <w:sz w:val="32"/>
          <w:szCs w:val="32"/>
          <w:lang w:val="en-US"/>
        </w:rPr>
        <w:t>坚强</w:t>
      </w:r>
      <w:r>
        <w:rPr>
          <w:rFonts w:hint="eastAsia"/>
          <w:sz w:val="32"/>
          <w:szCs w:val="32"/>
        </w:rPr>
        <w:t>领导下，积极与学校发展同频共振，贯彻落实各级教育会议精神，全面推进高质量跨越式发展。</w:t>
      </w:r>
      <w:r>
        <w:rPr>
          <w:rFonts w:hint="eastAsia"/>
          <w:sz w:val="32"/>
          <w:szCs w:val="32"/>
          <w:lang w:val="en-US"/>
        </w:rPr>
        <w:t>当前，</w:t>
      </w:r>
      <w:r>
        <w:rPr>
          <w:rFonts w:hint="eastAsia"/>
          <w:sz w:val="32"/>
          <w:szCs w:val="32"/>
        </w:rPr>
        <w:t>在艺术学院的</w:t>
      </w:r>
      <w:r>
        <w:rPr>
          <w:rFonts w:hint="eastAsia"/>
          <w:sz w:val="32"/>
          <w:szCs w:val="32"/>
          <w:lang w:val="en-US"/>
        </w:rPr>
        <w:t>统一领导与大力支持</w:t>
      </w:r>
      <w:r>
        <w:rPr>
          <w:rFonts w:hint="eastAsia"/>
          <w:sz w:val="32"/>
          <w:szCs w:val="32"/>
        </w:rPr>
        <w:t>下，</w:t>
      </w:r>
      <w:r>
        <w:rPr>
          <w:rFonts w:hint="eastAsia"/>
          <w:sz w:val="32"/>
          <w:szCs w:val="32"/>
          <w:lang w:val="en-US"/>
        </w:rPr>
        <w:t>音乐学院</w:t>
      </w:r>
      <w:r>
        <w:rPr>
          <w:rFonts w:hint="eastAsia"/>
          <w:sz w:val="32"/>
          <w:szCs w:val="32"/>
        </w:rPr>
        <w:t>办学层次即将实现从本科到</w:t>
      </w:r>
      <w:r>
        <w:rPr>
          <w:rFonts w:hint="eastAsia"/>
          <w:sz w:val="32"/>
          <w:szCs w:val="32"/>
          <w:lang w:val="en-US"/>
        </w:rPr>
        <w:t>硕士</w:t>
      </w:r>
      <w:r>
        <w:rPr>
          <w:rFonts w:hint="eastAsia"/>
          <w:sz w:val="32"/>
          <w:szCs w:val="32"/>
        </w:rPr>
        <w:t>研究生教育的</w:t>
      </w:r>
      <w:r>
        <w:rPr>
          <w:rFonts w:hint="eastAsia"/>
          <w:sz w:val="32"/>
          <w:szCs w:val="32"/>
          <w:lang w:val="en-US"/>
        </w:rPr>
        <w:t>突破</w:t>
      </w:r>
      <w:r>
        <w:rPr>
          <w:rFonts w:hint="eastAsia"/>
          <w:sz w:val="32"/>
          <w:szCs w:val="32"/>
        </w:rPr>
        <w:t>，有力呼应学校“优良师范传统、鲜明应用特色”的办学特色，</w:t>
      </w:r>
      <w:r>
        <w:rPr>
          <w:rFonts w:hint="eastAsia"/>
          <w:sz w:val="32"/>
          <w:szCs w:val="32"/>
          <w:lang w:val="en-US"/>
        </w:rPr>
        <w:t>将</w:t>
      </w:r>
      <w:r>
        <w:rPr>
          <w:rFonts w:hint="eastAsia"/>
          <w:sz w:val="32"/>
          <w:szCs w:val="32"/>
        </w:rPr>
        <w:t>为创建高水平</w:t>
      </w:r>
      <w:r>
        <w:rPr>
          <w:rFonts w:hint="eastAsia"/>
          <w:sz w:val="32"/>
          <w:szCs w:val="32"/>
          <w:lang w:val="en-US"/>
        </w:rPr>
        <w:t>的</w:t>
      </w:r>
      <w:r>
        <w:rPr>
          <w:rFonts w:hint="eastAsia"/>
          <w:sz w:val="32"/>
          <w:szCs w:val="32"/>
        </w:rPr>
        <w:t>湖州师范大学贡献音乐学科的</w:t>
      </w:r>
      <w:r>
        <w:rPr>
          <w:rFonts w:hint="eastAsia"/>
          <w:sz w:val="32"/>
          <w:szCs w:val="32"/>
          <w:lang w:val="en-US"/>
        </w:rPr>
        <w:t>强大</w:t>
      </w:r>
      <w:r>
        <w:rPr>
          <w:rFonts w:hint="eastAsia"/>
          <w:sz w:val="32"/>
          <w:szCs w:val="32"/>
        </w:rPr>
        <w:t>力量。</w:t>
      </w:r>
    </w:p>
    <w:p>
      <w:pPr>
        <w:spacing w:line="520" w:lineRule="exact"/>
        <w:ind w:firstLine="640" w:firstLineChars="200"/>
        <w:jc w:val="both"/>
        <w:rPr>
          <w:sz w:val="28"/>
          <w:szCs w:val="28"/>
        </w:rPr>
      </w:pPr>
      <w:r>
        <w:rPr>
          <w:rFonts w:hint="eastAsia"/>
          <w:sz w:val="32"/>
          <w:szCs w:val="32"/>
        </w:rPr>
        <w:t>根据《湖州师范学院“十四五”发展规划》等规划部署， 深入贯彻学校第四次党代会精神，结合新建音乐学院的实际</w:t>
      </w:r>
      <w:r>
        <w:rPr>
          <w:rFonts w:hint="eastAsia"/>
          <w:sz w:val="32"/>
          <w:szCs w:val="32"/>
          <w:lang w:val="en-US"/>
        </w:rPr>
        <w:t>情况</w:t>
      </w:r>
      <w:r>
        <w:rPr>
          <w:rFonts w:hint="eastAsia"/>
          <w:sz w:val="32"/>
          <w:szCs w:val="32"/>
        </w:rPr>
        <w:t>，制定本规划。全院上下须凝心聚力，</w:t>
      </w:r>
      <w:r>
        <w:rPr>
          <w:rFonts w:hint="eastAsia"/>
          <w:sz w:val="32"/>
          <w:szCs w:val="32"/>
          <w:lang w:val="en-US"/>
        </w:rPr>
        <w:t>勇于</w:t>
      </w:r>
      <w:r>
        <w:rPr>
          <w:rFonts w:hint="eastAsia"/>
          <w:sz w:val="32"/>
          <w:szCs w:val="32"/>
        </w:rPr>
        <w:t>挑战，抢抓机遇，深化改革，强化学院内涵发展</w:t>
      </w:r>
      <w:r>
        <w:rPr>
          <w:rFonts w:hint="eastAsia"/>
          <w:sz w:val="32"/>
          <w:szCs w:val="32"/>
          <w:lang w:val="en-US"/>
        </w:rPr>
        <w:t>与</w:t>
      </w:r>
      <w:r>
        <w:rPr>
          <w:rFonts w:hint="eastAsia"/>
          <w:sz w:val="32"/>
          <w:szCs w:val="32"/>
        </w:rPr>
        <w:t>精细治理，提升学科核心竞争力，为加快创建某一领域达到全国领先水平，</w:t>
      </w:r>
      <w:r>
        <w:rPr>
          <w:rFonts w:hint="eastAsia"/>
          <w:sz w:val="32"/>
          <w:szCs w:val="32"/>
          <w:lang w:val="en-US"/>
        </w:rPr>
        <w:t>并</w:t>
      </w:r>
      <w:r>
        <w:rPr>
          <w:rFonts w:hint="eastAsia"/>
          <w:sz w:val="32"/>
          <w:szCs w:val="32"/>
        </w:rPr>
        <w:t>在国内</w:t>
      </w:r>
      <w:r>
        <w:rPr>
          <w:rFonts w:hint="eastAsia"/>
          <w:sz w:val="32"/>
          <w:szCs w:val="32"/>
          <w:lang w:val="en-US"/>
        </w:rPr>
        <w:t>具</w:t>
      </w:r>
      <w:r>
        <w:rPr>
          <w:rFonts w:hint="eastAsia"/>
          <w:sz w:val="32"/>
          <w:szCs w:val="32"/>
        </w:rPr>
        <w:t>有一定影响、一定水平，在长三角地区特色鲜明、优势突出、有</w:t>
      </w:r>
      <w:r>
        <w:rPr>
          <w:rFonts w:hint="eastAsia"/>
          <w:sz w:val="32"/>
          <w:szCs w:val="32"/>
          <w:lang w:val="en-US"/>
        </w:rPr>
        <w:t>显著</w:t>
      </w:r>
      <w:r>
        <w:rPr>
          <w:rFonts w:hint="eastAsia"/>
          <w:sz w:val="32"/>
          <w:szCs w:val="32"/>
        </w:rPr>
        <w:t>地位的湖州师范大学音乐学院而努力奋斗。</w:t>
      </w:r>
      <w:r>
        <w:rPr>
          <w:rFonts w:hint="eastAsia"/>
          <w:sz w:val="28"/>
          <w:szCs w:val="28"/>
        </w:rPr>
        <w:br w:type="page"/>
      </w:r>
    </w:p>
    <w:p>
      <w:pPr>
        <w:jc w:val="center"/>
        <w:outlineLvl w:val="0"/>
        <w:rPr>
          <w:rFonts w:ascii="华光小标宋_CNKI" w:hAnsi="华光小标宋_CNKI" w:eastAsia="华光小标宋_CNKI" w:cs="华光小标宋_CNKI"/>
          <w:b/>
          <w:bCs/>
          <w:sz w:val="36"/>
          <w:szCs w:val="36"/>
        </w:rPr>
      </w:pPr>
      <w:bookmarkStart w:id="1" w:name="_Toc80652867"/>
      <w:r>
        <w:rPr>
          <w:rFonts w:hint="eastAsia" w:ascii="华文中宋" w:hAnsi="华文中宋" w:eastAsia="华文中宋" w:cs="华文中宋"/>
          <w:b/>
          <w:bCs/>
          <w:sz w:val="36"/>
          <w:szCs w:val="36"/>
        </w:rPr>
        <w:t>第一部分  发展基础和发展形势</w:t>
      </w:r>
      <w:bookmarkEnd w:id="1"/>
    </w:p>
    <w:p>
      <w:pPr>
        <w:spacing w:line="520" w:lineRule="exact"/>
        <w:jc w:val="both"/>
        <w:outlineLvl w:val="1"/>
        <w:rPr>
          <w:rFonts w:ascii="黑体" w:hAnsi="黑体" w:eastAsia="黑体"/>
          <w:sz w:val="32"/>
          <w:szCs w:val="32"/>
        </w:rPr>
      </w:pPr>
      <w:bookmarkStart w:id="2" w:name="_Toc80652868"/>
    </w:p>
    <w:p>
      <w:pPr>
        <w:spacing w:line="520" w:lineRule="exact"/>
        <w:jc w:val="both"/>
        <w:outlineLvl w:val="1"/>
        <w:rPr>
          <w:rFonts w:ascii="黑体" w:hAnsi="黑体" w:eastAsia="黑体"/>
          <w:sz w:val="32"/>
          <w:szCs w:val="32"/>
        </w:rPr>
      </w:pPr>
      <w:r>
        <w:rPr>
          <w:rFonts w:hint="eastAsia" w:ascii="黑体" w:hAnsi="黑体" w:eastAsia="黑体"/>
          <w:sz w:val="32"/>
          <w:szCs w:val="32"/>
        </w:rPr>
        <w:t>一、发展基础</w:t>
      </w:r>
      <w:bookmarkEnd w:id="2"/>
    </w:p>
    <w:p>
      <w:pPr>
        <w:spacing w:line="520" w:lineRule="exact"/>
        <w:ind w:firstLine="640" w:firstLineChars="200"/>
        <w:jc w:val="both"/>
        <w:rPr>
          <w:sz w:val="32"/>
          <w:szCs w:val="32"/>
        </w:rPr>
      </w:pPr>
      <w:r>
        <w:rPr>
          <w:rFonts w:hint="eastAsia"/>
          <w:sz w:val="32"/>
          <w:szCs w:val="32"/>
        </w:rPr>
        <w:t>“十三五”期间，在学校党委、行政的正确领导下，在音乐学院前身——</w:t>
      </w:r>
      <w:r>
        <w:rPr>
          <w:rFonts w:hint="eastAsia"/>
          <w:sz w:val="32"/>
          <w:szCs w:val="32"/>
          <w:lang w:val="en-US"/>
        </w:rPr>
        <w:t>艺术学院</w:t>
      </w:r>
      <w:r>
        <w:rPr>
          <w:rFonts w:hint="eastAsia"/>
          <w:sz w:val="32"/>
          <w:szCs w:val="32"/>
        </w:rPr>
        <w:t>音乐系所在的艺术学院党委、行政</w:t>
      </w:r>
      <w:r>
        <w:rPr>
          <w:rFonts w:hint="eastAsia"/>
          <w:sz w:val="32"/>
          <w:szCs w:val="32"/>
          <w:lang w:val="en-US"/>
        </w:rPr>
        <w:t>坚强</w:t>
      </w:r>
      <w:r>
        <w:rPr>
          <w:rFonts w:hint="eastAsia"/>
          <w:sz w:val="32"/>
          <w:szCs w:val="32"/>
        </w:rPr>
        <w:t>带领下，依靠全</w:t>
      </w:r>
      <w:r>
        <w:rPr>
          <w:rFonts w:hint="eastAsia"/>
          <w:sz w:val="32"/>
          <w:szCs w:val="32"/>
          <w:lang w:val="en-US"/>
        </w:rPr>
        <w:t>体</w:t>
      </w:r>
      <w:r>
        <w:rPr>
          <w:rFonts w:hint="eastAsia"/>
          <w:sz w:val="32"/>
          <w:szCs w:val="32"/>
        </w:rPr>
        <w:t>师生员工，全力推进人才培养、学科建设、师资队伍、科学研究、服务地方、国际交流和党建思政等各项工作，完成了“十三五”发展规划确定的主要目标和重点任务，办学水平显著增强，综合实力明显提高，社会声誉不断提升，为</w:t>
      </w:r>
      <w:r>
        <w:rPr>
          <w:rFonts w:hint="eastAsia"/>
          <w:sz w:val="32"/>
          <w:szCs w:val="32"/>
          <w:lang w:val="en-US"/>
        </w:rPr>
        <w:t>新建音乐</w:t>
      </w:r>
      <w:r>
        <w:rPr>
          <w:rFonts w:hint="eastAsia"/>
          <w:sz w:val="32"/>
          <w:szCs w:val="32"/>
        </w:rPr>
        <w:t>学院</w:t>
      </w:r>
      <w:r>
        <w:rPr>
          <w:rFonts w:hint="eastAsia"/>
          <w:sz w:val="32"/>
          <w:szCs w:val="32"/>
          <w:lang w:val="en-US"/>
        </w:rPr>
        <w:t>的高质量发展</w:t>
      </w:r>
      <w:r>
        <w:rPr>
          <w:rFonts w:hint="eastAsia"/>
          <w:sz w:val="32"/>
          <w:szCs w:val="32"/>
        </w:rPr>
        <w:t>奠定了坚实基础。</w:t>
      </w:r>
    </w:p>
    <w:p>
      <w:pPr>
        <w:spacing w:line="520" w:lineRule="exact"/>
        <w:ind w:firstLine="643" w:firstLineChars="200"/>
        <w:jc w:val="both"/>
        <w:outlineLvl w:val="2"/>
        <w:rPr>
          <w:rFonts w:ascii="楷体" w:hAnsi="楷体" w:eastAsia="楷体" w:cstheme="minorBidi"/>
          <w:b/>
          <w:kern w:val="2"/>
          <w:sz w:val="32"/>
          <w:szCs w:val="32"/>
          <w:lang w:val="en-US" w:bidi="ar-SA"/>
        </w:rPr>
      </w:pPr>
      <w:bookmarkStart w:id="3" w:name="_Toc80652869"/>
      <w:r>
        <w:rPr>
          <w:rFonts w:hint="eastAsia" w:ascii="楷体" w:hAnsi="楷体" w:eastAsia="楷体" w:cstheme="minorBidi"/>
          <w:b/>
          <w:kern w:val="2"/>
          <w:sz w:val="32"/>
          <w:szCs w:val="32"/>
          <w:lang w:val="en-US" w:bidi="ar-SA"/>
        </w:rPr>
        <w:t>（一）学科平台机遇再逢利好</w:t>
      </w:r>
      <w:bookmarkEnd w:id="3"/>
    </w:p>
    <w:p>
      <w:pPr>
        <w:spacing w:line="520" w:lineRule="exact"/>
        <w:ind w:firstLine="640" w:firstLineChars="200"/>
        <w:jc w:val="both"/>
        <w:rPr>
          <w:sz w:val="32"/>
          <w:szCs w:val="32"/>
        </w:rPr>
      </w:pPr>
      <w:r>
        <w:rPr>
          <w:rFonts w:hint="eastAsia"/>
          <w:sz w:val="32"/>
          <w:szCs w:val="32"/>
        </w:rPr>
        <w:t>已建成音乐与舞蹈学为校级特色学科，音乐学（师范）专业为浙江省新兴特色专业。艺术硕士（音乐领域）各项指标达到申报要求，增列基础材料工作已填报完毕，新建音乐学院即将迎来人才培养层次从本科到硕士研究生</w:t>
      </w:r>
      <w:r>
        <w:rPr>
          <w:rFonts w:hint="eastAsia"/>
          <w:sz w:val="32"/>
          <w:szCs w:val="32"/>
          <w:lang w:val="en-US"/>
        </w:rPr>
        <w:t>教育</w:t>
      </w:r>
      <w:r>
        <w:rPr>
          <w:rFonts w:hint="eastAsia"/>
          <w:sz w:val="32"/>
          <w:szCs w:val="32"/>
        </w:rPr>
        <w:t>的跨越式发展。</w:t>
      </w:r>
    </w:p>
    <w:p>
      <w:pPr>
        <w:spacing w:line="520" w:lineRule="exact"/>
        <w:ind w:firstLine="643" w:firstLineChars="200"/>
        <w:jc w:val="both"/>
        <w:outlineLvl w:val="2"/>
        <w:rPr>
          <w:rFonts w:ascii="楷体" w:hAnsi="楷体" w:eastAsia="楷体" w:cstheme="minorBidi"/>
          <w:b/>
          <w:kern w:val="2"/>
          <w:sz w:val="32"/>
          <w:szCs w:val="32"/>
          <w:lang w:val="en-US" w:bidi="ar-SA"/>
        </w:rPr>
      </w:pPr>
      <w:bookmarkStart w:id="4" w:name="_Toc80652870"/>
      <w:r>
        <w:rPr>
          <w:rFonts w:hint="eastAsia" w:ascii="楷体" w:hAnsi="楷体" w:eastAsia="楷体" w:cstheme="minorBidi"/>
          <w:b/>
          <w:kern w:val="2"/>
          <w:sz w:val="32"/>
          <w:szCs w:val="32"/>
          <w:lang w:val="en-US" w:bidi="ar-SA"/>
        </w:rPr>
        <w:t>（二）师资团队建设成效明显</w:t>
      </w:r>
      <w:bookmarkEnd w:id="4"/>
    </w:p>
    <w:p>
      <w:pPr>
        <w:spacing w:line="520" w:lineRule="exact"/>
        <w:ind w:firstLine="640" w:firstLineChars="200"/>
        <w:jc w:val="both"/>
        <w:rPr>
          <w:sz w:val="32"/>
          <w:szCs w:val="32"/>
          <w:lang w:val="en-US"/>
        </w:rPr>
      </w:pPr>
      <w:r>
        <w:rPr>
          <w:rFonts w:hint="eastAsia"/>
          <w:sz w:val="32"/>
          <w:szCs w:val="32"/>
          <w:lang w:val="en-US"/>
        </w:rPr>
        <w:t>高层次人才引育成效明显。已引进省“千人计划”人才1人、高级职称教师4人、引进博士3人、内培教授1人、副教授5人、新增在职攻读博士5人、新增市级人才6人、选派1位教师赴国（境）外访学交流。全院专任教师实现人人进学科，初步构建了省、市、校一体化的音乐创新拔尖人才教师队伍体系。</w:t>
      </w:r>
    </w:p>
    <w:p>
      <w:pPr>
        <w:spacing w:line="520" w:lineRule="exact"/>
        <w:ind w:firstLine="643" w:firstLineChars="200"/>
        <w:jc w:val="both"/>
        <w:outlineLvl w:val="2"/>
        <w:rPr>
          <w:rFonts w:ascii="楷体" w:hAnsi="楷体" w:eastAsia="楷体" w:cstheme="minorBidi"/>
          <w:b/>
          <w:kern w:val="2"/>
          <w:sz w:val="32"/>
          <w:szCs w:val="32"/>
          <w:lang w:val="en-US" w:bidi="ar-SA"/>
        </w:rPr>
      </w:pPr>
      <w:bookmarkStart w:id="5" w:name="_Toc80652871"/>
      <w:r>
        <w:rPr>
          <w:rFonts w:hint="eastAsia" w:ascii="楷体" w:hAnsi="楷体" w:eastAsia="楷体" w:cstheme="minorBidi"/>
          <w:b/>
          <w:kern w:val="2"/>
          <w:sz w:val="32"/>
          <w:szCs w:val="32"/>
          <w:lang w:val="en-US" w:bidi="ar-SA"/>
        </w:rPr>
        <w:t>（三）人才培养改革成果丰硕</w:t>
      </w:r>
      <w:bookmarkEnd w:id="5"/>
    </w:p>
    <w:p>
      <w:pPr>
        <w:spacing w:line="520" w:lineRule="exact"/>
        <w:ind w:firstLine="640" w:firstLineChars="200"/>
        <w:jc w:val="both"/>
        <w:rPr>
          <w:sz w:val="32"/>
          <w:szCs w:val="32"/>
          <w:lang w:val="en-US"/>
        </w:rPr>
      </w:pPr>
      <w:r>
        <w:rPr>
          <w:rFonts w:hint="eastAsia"/>
          <w:sz w:val="32"/>
          <w:szCs w:val="32"/>
          <w:lang w:val="en-US"/>
        </w:rPr>
        <w:t>始终秉持人才培养的中心地位，积极探索“高素质应用型音乐类人才培养模式”改革，主力推进人才培养过程的闭环体系构建。音乐学（师范）获评校一流专业，并获教育部产学合作协同育人项目2项、省精品在线开放课程3项、省一流课程建设2项、省教学改革项目12项、省课堂质量教学改革项目14项、省产学合作协同育人5项、省虚拟仿真实验教学项目2项、省高教学会“互联网+教学”优秀案例二等奖1项、省高教学会“互联网+教学”示范课堂2门、省高教学会高等教育研究课题15项、校教学成果奖一等奖1项、二等奖1项。教师荣获省微课比赛二等奖5项、校教坛新秀2人。签约校外实践基地21个。省外二本招生省份扩大到14个，毕业生考研录取率从五年前的4%上升到11%。获全国性学科竞赛一、二等奖84项，省一等奖63项。获国家级大学生创新创业训练计划项目11项，大学生“新苗人才”计划项目8项。学生就业率均在9</w:t>
      </w:r>
      <w:r>
        <w:rPr>
          <w:sz w:val="32"/>
          <w:szCs w:val="32"/>
          <w:lang w:val="en-US"/>
        </w:rPr>
        <w:t>5%</w:t>
      </w:r>
      <w:r>
        <w:rPr>
          <w:rFonts w:hint="eastAsia"/>
          <w:sz w:val="32"/>
          <w:szCs w:val="32"/>
          <w:lang w:val="en-US"/>
        </w:rPr>
        <w:t>以上，考编率、留湖率和考研率稳步提升。</w:t>
      </w:r>
    </w:p>
    <w:p>
      <w:pPr>
        <w:spacing w:line="520" w:lineRule="exact"/>
        <w:ind w:firstLine="643" w:firstLineChars="200"/>
        <w:jc w:val="both"/>
        <w:outlineLvl w:val="2"/>
        <w:rPr>
          <w:b/>
          <w:bCs/>
          <w:sz w:val="32"/>
          <w:szCs w:val="32"/>
        </w:rPr>
      </w:pPr>
      <w:bookmarkStart w:id="6" w:name="_Toc80652872"/>
      <w:r>
        <w:rPr>
          <w:rFonts w:hint="eastAsia" w:ascii="楷体" w:hAnsi="楷体" w:eastAsia="楷体" w:cstheme="minorBidi"/>
          <w:b/>
          <w:kern w:val="2"/>
          <w:sz w:val="32"/>
          <w:szCs w:val="32"/>
          <w:lang w:val="en-US" w:bidi="ar-SA"/>
        </w:rPr>
        <w:t>（四）科学研究呈现厚积薄发</w:t>
      </w:r>
      <w:bookmarkEnd w:id="6"/>
    </w:p>
    <w:p>
      <w:pPr>
        <w:spacing w:line="520" w:lineRule="exact"/>
        <w:ind w:firstLine="640" w:firstLineChars="200"/>
        <w:jc w:val="both"/>
        <w:rPr>
          <w:sz w:val="32"/>
          <w:szCs w:val="32"/>
          <w:lang w:val="en-US"/>
        </w:rPr>
      </w:pPr>
      <w:r>
        <w:rPr>
          <w:rFonts w:hint="eastAsia"/>
          <w:sz w:val="32"/>
          <w:szCs w:val="32"/>
          <w:lang w:val="en-US"/>
        </w:rPr>
        <w:t>遵循音乐学科发展规律，布局研究领域，凝练研究方向，整合科研团队，加大科研项目申报力度。已获批国家级项目1项，实现学院国家项目零的突破。获批省部级7项、市厅级30余项，纵向科研经费68.4万。教师发表论文40余篇，其中权威期刊1篇、一级期刊2篇。一级出版社出版专著4部。获得各类专业获奖50余项。市哲学社会科学成果奖4项。获得国家专利1项。</w:t>
      </w:r>
    </w:p>
    <w:p>
      <w:pPr>
        <w:spacing w:line="520" w:lineRule="exact"/>
        <w:ind w:firstLine="643" w:firstLineChars="200"/>
        <w:jc w:val="both"/>
        <w:outlineLvl w:val="2"/>
        <w:rPr>
          <w:rFonts w:ascii="楷体" w:hAnsi="楷体" w:eastAsia="楷体" w:cstheme="minorBidi"/>
          <w:b/>
          <w:kern w:val="2"/>
          <w:sz w:val="32"/>
          <w:szCs w:val="32"/>
          <w:lang w:val="en-US" w:bidi="ar-SA"/>
        </w:rPr>
      </w:pPr>
      <w:bookmarkStart w:id="7" w:name="_Toc80652873"/>
      <w:r>
        <w:rPr>
          <w:rFonts w:hint="eastAsia" w:ascii="楷体" w:hAnsi="楷体" w:eastAsia="楷体" w:cstheme="minorBidi"/>
          <w:b/>
          <w:kern w:val="2"/>
          <w:sz w:val="32"/>
          <w:szCs w:val="32"/>
          <w:lang w:val="en-US" w:bidi="ar-SA"/>
        </w:rPr>
        <w:t>（五）服务地方能力显著提升</w:t>
      </w:r>
      <w:bookmarkEnd w:id="7"/>
    </w:p>
    <w:p>
      <w:pPr>
        <w:spacing w:line="520" w:lineRule="exact"/>
        <w:ind w:firstLine="640" w:firstLineChars="200"/>
        <w:jc w:val="both"/>
        <w:rPr>
          <w:sz w:val="32"/>
          <w:szCs w:val="32"/>
          <w:lang w:val="en-US"/>
        </w:rPr>
      </w:pPr>
      <w:r>
        <w:rPr>
          <w:rFonts w:hint="eastAsia"/>
          <w:sz w:val="32"/>
          <w:szCs w:val="32"/>
          <w:lang w:val="en-US"/>
        </w:rPr>
        <w:t>落实学校《服务湖州经济社会发展行动纲要（2016—2020 年）》以及打造高水平“大学与城市命运共同体”精神，积极与中共湖州市委宣传部、湖州市文旅局等单位开展合作，并签订战略合作协议，与1家企业签订产学研合作基地协议，承接服务地方项目20项，服务地方经费累计100余万元。</w:t>
      </w:r>
    </w:p>
    <w:p>
      <w:pPr>
        <w:spacing w:line="520" w:lineRule="exact"/>
        <w:ind w:firstLine="643" w:firstLineChars="200"/>
        <w:jc w:val="both"/>
        <w:outlineLvl w:val="2"/>
        <w:rPr>
          <w:rFonts w:ascii="楷体" w:hAnsi="楷体" w:eastAsia="楷体" w:cstheme="minorBidi"/>
          <w:b/>
          <w:kern w:val="2"/>
          <w:sz w:val="32"/>
          <w:szCs w:val="32"/>
          <w:lang w:val="en-US" w:bidi="ar-SA"/>
        </w:rPr>
      </w:pPr>
      <w:bookmarkStart w:id="8" w:name="_Toc80652874"/>
      <w:r>
        <w:rPr>
          <w:rFonts w:hint="eastAsia" w:ascii="楷体" w:hAnsi="楷体" w:eastAsia="楷体" w:cstheme="minorBidi"/>
          <w:b/>
          <w:kern w:val="2"/>
          <w:sz w:val="32"/>
          <w:szCs w:val="32"/>
          <w:lang w:val="en-US" w:bidi="ar-SA"/>
        </w:rPr>
        <w:t>（六）合作交流空间有效拓展</w:t>
      </w:r>
      <w:bookmarkEnd w:id="8"/>
    </w:p>
    <w:p>
      <w:pPr>
        <w:spacing w:line="520" w:lineRule="exact"/>
        <w:ind w:firstLine="640" w:firstLineChars="200"/>
        <w:jc w:val="both"/>
        <w:rPr>
          <w:sz w:val="32"/>
          <w:szCs w:val="32"/>
          <w:lang w:val="en-US"/>
        </w:rPr>
      </w:pPr>
      <w:r>
        <w:rPr>
          <w:rFonts w:hint="eastAsia"/>
          <w:sz w:val="32"/>
          <w:szCs w:val="32"/>
          <w:lang w:val="en-US"/>
        </w:rPr>
        <w:t>积极参与学校跨文化研究中心建设。举办“高等师范院校音乐学科建设与专业发展”系列学术研讨会，邀请来自中国音乐学院、上海音乐学院、浙江音乐学院、浙江歌舞剧院、浙江省音乐家协会、浙江省合唱联盟等校外专家举办音乐类学术讲座与大师课百余场。</w:t>
      </w:r>
    </w:p>
    <w:p>
      <w:pPr>
        <w:spacing w:line="520" w:lineRule="exact"/>
        <w:ind w:firstLine="643" w:firstLineChars="200"/>
        <w:jc w:val="both"/>
        <w:outlineLvl w:val="2"/>
        <w:rPr>
          <w:rFonts w:ascii="楷体" w:hAnsi="楷体" w:eastAsia="楷体" w:cstheme="minorBidi"/>
          <w:b/>
          <w:kern w:val="2"/>
          <w:sz w:val="32"/>
          <w:szCs w:val="32"/>
          <w:lang w:val="en-US" w:bidi="ar-SA"/>
        </w:rPr>
      </w:pPr>
      <w:bookmarkStart w:id="9" w:name="_Toc80652875"/>
      <w:r>
        <w:rPr>
          <w:rFonts w:hint="eastAsia" w:ascii="楷体" w:hAnsi="楷体" w:eastAsia="楷体" w:cstheme="minorBidi"/>
          <w:b/>
          <w:kern w:val="2"/>
          <w:sz w:val="32"/>
          <w:szCs w:val="32"/>
          <w:lang w:val="en-US" w:bidi="ar-SA"/>
        </w:rPr>
        <w:t>（七）办学基础资源逐步提升</w:t>
      </w:r>
      <w:bookmarkEnd w:id="9"/>
    </w:p>
    <w:p>
      <w:pPr>
        <w:spacing w:line="520" w:lineRule="exact"/>
        <w:ind w:firstLine="640" w:firstLineChars="200"/>
        <w:jc w:val="both"/>
        <w:rPr>
          <w:sz w:val="32"/>
          <w:szCs w:val="32"/>
          <w:lang w:val="en-US"/>
        </w:rPr>
      </w:pPr>
      <w:r>
        <w:rPr>
          <w:rFonts w:hint="eastAsia"/>
          <w:sz w:val="32"/>
          <w:szCs w:val="32"/>
          <w:lang w:val="en-US"/>
        </w:rPr>
        <w:t>新建MIDI音乐教室，占地38平方米，设备投入63.1万元。新建录音棚，占地99平方米，设备投入40.44万元。累计更换办公设备10余万元。制定《实验耗材领用管理规定》等制度。落实“垃圾分类”，推进绿色生态校园建设。</w:t>
      </w:r>
    </w:p>
    <w:p>
      <w:pPr>
        <w:spacing w:line="520" w:lineRule="exact"/>
        <w:ind w:firstLine="643" w:firstLineChars="200"/>
        <w:jc w:val="both"/>
        <w:outlineLvl w:val="2"/>
        <w:rPr>
          <w:rFonts w:ascii="楷体" w:hAnsi="楷体" w:eastAsia="楷体" w:cstheme="minorBidi"/>
          <w:b/>
          <w:kern w:val="2"/>
          <w:sz w:val="32"/>
          <w:szCs w:val="32"/>
          <w:lang w:val="en-US" w:bidi="ar-SA"/>
        </w:rPr>
      </w:pPr>
      <w:bookmarkStart w:id="10" w:name="_Toc80652876"/>
      <w:r>
        <w:rPr>
          <w:rFonts w:hint="eastAsia" w:ascii="楷体" w:hAnsi="楷体" w:eastAsia="楷体" w:cstheme="minorBidi"/>
          <w:b/>
          <w:kern w:val="2"/>
          <w:sz w:val="32"/>
          <w:szCs w:val="32"/>
          <w:lang w:val="en-US" w:bidi="ar-SA"/>
        </w:rPr>
        <w:t>（八）党建思政保障坚实有力</w:t>
      </w:r>
      <w:bookmarkEnd w:id="10"/>
    </w:p>
    <w:p>
      <w:pPr>
        <w:spacing w:line="520" w:lineRule="exact"/>
        <w:ind w:firstLine="640" w:firstLineChars="200"/>
        <w:jc w:val="both"/>
        <w:rPr>
          <w:sz w:val="32"/>
          <w:szCs w:val="32"/>
          <w:lang w:val="en-US"/>
        </w:rPr>
      </w:pPr>
      <w:r>
        <w:rPr>
          <w:rFonts w:hint="eastAsia"/>
          <w:sz w:val="32"/>
          <w:szCs w:val="32"/>
          <w:lang w:val="en-US"/>
        </w:rPr>
        <w:t>在艺术学院党委的统一领导下，深入学习贯彻落实党的十九大及历次全会精神，认真学习习近平新时代中国特色社会主义思想，抓好党员发展和再教育工作。坚持理论中心组学习制度，认真贯彻《二级学院党政联席会议制度》。落实中央八项规定精神，抓好党风廉政建设。创新基层党组织建设，选好配强支部书记及支委， 充分发挥基层党支部的战斗堡垒作用。音乐系教工党支部获评校第三届支部建设创新奖。统战、群团工作稳步推进，学院分工会积极参与学校各项文体活动。贯彻落实《艺术学院学风建设工作方案》文件精神，学风建设稳步提升，创建“君子之风”文化品牌——艺术导读工程，一院一品“艺术节”文化建设成效明显。获校第二十二届运动会体育道德风尚奖。</w:t>
      </w:r>
    </w:p>
    <w:p>
      <w:pPr>
        <w:spacing w:line="520" w:lineRule="exact"/>
        <w:jc w:val="both"/>
        <w:outlineLvl w:val="1"/>
        <w:rPr>
          <w:rFonts w:ascii="黑体" w:hAnsi="黑体" w:eastAsia="黑体"/>
          <w:sz w:val="32"/>
          <w:szCs w:val="32"/>
        </w:rPr>
      </w:pPr>
      <w:bookmarkStart w:id="11" w:name="_Toc80652877"/>
    </w:p>
    <w:p>
      <w:pPr>
        <w:spacing w:line="520" w:lineRule="exact"/>
        <w:jc w:val="both"/>
        <w:outlineLvl w:val="1"/>
        <w:rPr>
          <w:rFonts w:ascii="黑体" w:hAnsi="黑体" w:eastAsia="黑体"/>
          <w:sz w:val="32"/>
          <w:szCs w:val="32"/>
        </w:rPr>
      </w:pPr>
      <w:r>
        <w:rPr>
          <w:rFonts w:hint="eastAsia" w:ascii="黑体" w:hAnsi="黑体" w:eastAsia="黑体"/>
          <w:sz w:val="32"/>
          <w:szCs w:val="32"/>
        </w:rPr>
        <w:t>二、发展形势</w:t>
      </w:r>
      <w:bookmarkEnd w:id="11"/>
    </w:p>
    <w:p>
      <w:pPr>
        <w:spacing w:line="520" w:lineRule="exact"/>
        <w:ind w:firstLine="640" w:firstLineChars="200"/>
        <w:jc w:val="both"/>
        <w:rPr>
          <w:sz w:val="32"/>
          <w:szCs w:val="32"/>
          <w:lang w:val="en-US"/>
        </w:rPr>
      </w:pPr>
      <w:r>
        <w:rPr>
          <w:rFonts w:hint="eastAsia"/>
          <w:sz w:val="32"/>
          <w:szCs w:val="32"/>
          <w:lang w:val="en-US"/>
        </w:rPr>
        <w:t>“十四五”时期是新建音乐学院能否实现办学层次进一步提升，并保持高质量可持续发展的关键时期。全体师生应进一步增强机遇意识与忧患意识，以更敏锐的战略思维和更加宽广的办学视野，把音乐学院的发展置于地域发展战略的大格局中，本着“学院办大学”的气魄，直面艺术类高等教育尤其是高师音乐教育的发展态势、机遇、变局及未来大格局，来静心思考、大胆谋划和稳健推动。</w:t>
      </w:r>
    </w:p>
    <w:p>
      <w:pPr>
        <w:spacing w:line="520" w:lineRule="exact"/>
        <w:ind w:firstLine="643" w:firstLineChars="200"/>
        <w:jc w:val="both"/>
        <w:outlineLvl w:val="2"/>
        <w:rPr>
          <w:rFonts w:ascii="楷体" w:hAnsi="楷体" w:eastAsia="楷体" w:cstheme="minorBidi"/>
          <w:b/>
          <w:kern w:val="2"/>
          <w:sz w:val="32"/>
          <w:szCs w:val="32"/>
          <w:lang w:val="en-US" w:bidi="ar-SA"/>
        </w:rPr>
      </w:pPr>
      <w:bookmarkStart w:id="12" w:name="_Toc80652878"/>
      <w:r>
        <w:rPr>
          <w:rFonts w:hint="eastAsia" w:ascii="楷体" w:hAnsi="楷体" w:eastAsia="楷体" w:cstheme="minorBidi"/>
          <w:b/>
          <w:kern w:val="2"/>
          <w:sz w:val="32"/>
          <w:szCs w:val="32"/>
          <w:lang w:val="en-US" w:bidi="ar-SA"/>
        </w:rPr>
        <w:t>（一）发展机遇</w:t>
      </w:r>
      <w:bookmarkEnd w:id="12"/>
    </w:p>
    <w:p>
      <w:pPr>
        <w:spacing w:line="520" w:lineRule="exact"/>
        <w:ind w:firstLine="640" w:firstLineChars="200"/>
        <w:jc w:val="both"/>
        <w:rPr>
          <w:sz w:val="32"/>
          <w:szCs w:val="32"/>
          <w:lang w:val="en-US"/>
        </w:rPr>
      </w:pPr>
      <w:r>
        <w:rPr>
          <w:rFonts w:hint="eastAsia"/>
          <w:sz w:val="32"/>
          <w:szCs w:val="32"/>
          <w:lang w:val="en-US"/>
        </w:rPr>
        <w:t>从高等教育改革发展形势看，世界高等教育已处于深刻变革的重要历史时期，更加重视高等教育的改革、创新和发展。我国正从教育大国向教育强国迈进中，高等教育正从规模扩张向提高质量转型，全国高校迎来了宝贵的战略机遇期。党的十九大报告指出，建设教育强国是中华民族伟大复兴的基础工程；要加快一流大学和一流学科建设，实现高等教育内涵式发展。教育部等五部门印发《教师教育振兴行动计划（2018—2022年）》，提出经过5年左右努力，办好一批高水平、有特色的教师教育院校和师范类专业。浙江省委省政府印发《关于全面实施高等教育强省战略的意见》，特别指出是加大对师范院校的支持力度，打造2-3所高水平师范大学，学校处于创建高水平师范大学机遇窗口期。</w:t>
      </w:r>
    </w:p>
    <w:p>
      <w:pPr>
        <w:spacing w:line="520" w:lineRule="exact"/>
        <w:ind w:firstLine="640" w:firstLineChars="200"/>
        <w:jc w:val="both"/>
        <w:rPr>
          <w:sz w:val="32"/>
          <w:szCs w:val="32"/>
          <w:lang w:val="en-US"/>
        </w:rPr>
      </w:pPr>
      <w:r>
        <w:rPr>
          <w:rFonts w:hint="eastAsia"/>
          <w:sz w:val="32"/>
          <w:szCs w:val="32"/>
          <w:lang w:val="en-US"/>
        </w:rPr>
        <w:t>从区域经济社会发展形势看，湖州正在加快推动高质量赶超发展，加快融入长三角一体化发展国家战略，努力成为“重要窗口”、创建“共同富裕”示范样本，奋力实现“浙北再崛起”。城市的发展亟需高校发挥人才资源和创新要素的集聚作用，亟需更高水平的高等教育提供人才保障、智力支持、文化引领与技术支撑。学校正把自身发展和服务地方相统一，面向区域经济社会发展主战场，积极响应长三角一体化发展等国家重大战略，努力争取“有为”和“有位”。音乐学院作为新建学院，聚集着国家、省、市、校音乐舞蹈戏剧类教学与创作精英，承载着国家、省、市、校音乐舞蹈戏剧类人才需求保障、创制智力支撑、美育教育垂范、艺术精神引领的期望，“十四五”正是音乐学院努力拓展综合声誉、完善艺术类人才培养体系、提升人才培养层次的重要机遇期。</w:t>
      </w:r>
    </w:p>
    <w:p>
      <w:pPr>
        <w:spacing w:line="520" w:lineRule="exact"/>
        <w:ind w:firstLine="643" w:firstLineChars="200"/>
        <w:outlineLvl w:val="2"/>
        <w:rPr>
          <w:rFonts w:ascii="楷体" w:hAnsi="楷体" w:eastAsia="楷体" w:cstheme="minorBidi"/>
          <w:b/>
          <w:kern w:val="2"/>
          <w:sz w:val="32"/>
          <w:szCs w:val="32"/>
          <w:lang w:val="en-US" w:bidi="ar-SA"/>
        </w:rPr>
      </w:pPr>
      <w:bookmarkStart w:id="13" w:name="_Toc80652879"/>
      <w:r>
        <w:rPr>
          <w:rFonts w:hint="eastAsia" w:ascii="楷体" w:hAnsi="楷体" w:eastAsia="楷体" w:cstheme="minorBidi"/>
          <w:b/>
          <w:kern w:val="2"/>
          <w:sz w:val="32"/>
          <w:szCs w:val="32"/>
          <w:lang w:val="en-US" w:bidi="ar-SA"/>
        </w:rPr>
        <w:t>（二）面临挑战</w:t>
      </w:r>
      <w:bookmarkEnd w:id="13"/>
    </w:p>
    <w:p>
      <w:pPr>
        <w:spacing w:line="520" w:lineRule="exact"/>
        <w:ind w:firstLine="640" w:firstLineChars="200"/>
        <w:jc w:val="both"/>
        <w:rPr>
          <w:sz w:val="32"/>
          <w:szCs w:val="32"/>
        </w:rPr>
      </w:pPr>
      <w:r>
        <w:rPr>
          <w:rFonts w:hint="eastAsia"/>
          <w:sz w:val="32"/>
          <w:szCs w:val="32"/>
        </w:rPr>
        <w:t>从宏观层面看，综合类高校中的艺术类学院“重道轻器” 观念仍然严重，在评价体系上依然重视基础理论研究，忽视应用创新成果</w:t>
      </w:r>
      <w:r>
        <w:rPr>
          <w:rFonts w:hint="eastAsia"/>
          <w:sz w:val="32"/>
          <w:szCs w:val="32"/>
          <w:lang w:val="en-US"/>
        </w:rPr>
        <w:t>与学生创新创业</w:t>
      </w:r>
      <w:r>
        <w:rPr>
          <w:rFonts w:hint="eastAsia"/>
          <w:sz w:val="32"/>
          <w:szCs w:val="32"/>
        </w:rPr>
        <w:t>，</w:t>
      </w:r>
      <w:r>
        <w:rPr>
          <w:rFonts w:hint="eastAsia"/>
          <w:sz w:val="32"/>
          <w:szCs w:val="32"/>
          <w:lang w:val="en-US"/>
        </w:rPr>
        <w:t>同时</w:t>
      </w:r>
      <w:r>
        <w:rPr>
          <w:rFonts w:hint="eastAsia"/>
          <w:sz w:val="32"/>
          <w:szCs w:val="32"/>
        </w:rPr>
        <w:t>疏远艺术成果本源。全院师生必须群策群力、</w:t>
      </w:r>
      <w:r>
        <w:rPr>
          <w:rFonts w:hint="eastAsia"/>
          <w:sz w:val="32"/>
          <w:szCs w:val="32"/>
          <w:lang w:val="en-US"/>
        </w:rPr>
        <w:t>同心同德</w:t>
      </w:r>
      <w:r>
        <w:rPr>
          <w:rFonts w:hint="eastAsia"/>
          <w:sz w:val="32"/>
          <w:szCs w:val="32"/>
        </w:rPr>
        <w:t>，</w:t>
      </w:r>
      <w:r>
        <w:rPr>
          <w:rFonts w:hint="eastAsia"/>
          <w:sz w:val="32"/>
          <w:szCs w:val="32"/>
          <w:lang w:val="en-US"/>
        </w:rPr>
        <w:t>共同</w:t>
      </w:r>
      <w:r>
        <w:rPr>
          <w:rFonts w:hint="eastAsia"/>
          <w:sz w:val="32"/>
          <w:szCs w:val="32"/>
        </w:rPr>
        <w:t>努力研究</w:t>
      </w:r>
      <w:r>
        <w:rPr>
          <w:rFonts w:hint="eastAsia"/>
          <w:sz w:val="32"/>
          <w:szCs w:val="32"/>
          <w:lang w:val="en-US"/>
        </w:rPr>
        <w:t>如何切实挖掘、探寻</w:t>
      </w:r>
      <w:r>
        <w:rPr>
          <w:rFonts w:hint="eastAsia"/>
          <w:sz w:val="32"/>
          <w:szCs w:val="32"/>
        </w:rPr>
        <w:t>新的资源，开创新的发展模式。</w:t>
      </w:r>
    </w:p>
    <w:p>
      <w:pPr>
        <w:spacing w:line="520" w:lineRule="exact"/>
        <w:ind w:firstLine="640" w:firstLineChars="200"/>
        <w:jc w:val="both"/>
        <w:rPr>
          <w:sz w:val="32"/>
          <w:szCs w:val="32"/>
          <w:lang w:val="en-US"/>
        </w:rPr>
      </w:pPr>
      <w:r>
        <w:rPr>
          <w:rFonts w:hint="eastAsia"/>
          <w:sz w:val="32"/>
          <w:szCs w:val="32"/>
        </w:rPr>
        <w:t>从学院自身发展看，艺术硕士（音乐领域）增列在即，对照远景目标，</w:t>
      </w:r>
      <w:r>
        <w:rPr>
          <w:rFonts w:hint="eastAsia"/>
          <w:sz w:val="32"/>
          <w:szCs w:val="32"/>
          <w:lang w:val="en-US"/>
        </w:rPr>
        <w:t>以下方面还需进一步加强：</w:t>
      </w:r>
    </w:p>
    <w:p>
      <w:pPr>
        <w:spacing w:line="520" w:lineRule="exact"/>
        <w:ind w:firstLine="640" w:firstLineChars="200"/>
        <w:jc w:val="both"/>
        <w:rPr>
          <w:sz w:val="32"/>
          <w:szCs w:val="32"/>
        </w:rPr>
      </w:pPr>
      <w:r>
        <w:rPr>
          <w:rFonts w:hint="eastAsia"/>
          <w:sz w:val="32"/>
          <w:szCs w:val="32"/>
        </w:rPr>
        <w:t>一是高水平师资不足，</w:t>
      </w:r>
      <w:r>
        <w:rPr>
          <w:rFonts w:hint="eastAsia"/>
          <w:sz w:val="32"/>
          <w:szCs w:val="32"/>
          <w:lang w:val="en-US"/>
        </w:rPr>
        <w:t>该领域</w:t>
      </w:r>
      <w:r>
        <w:rPr>
          <w:rFonts w:hint="eastAsia"/>
          <w:sz w:val="32"/>
          <w:szCs w:val="32"/>
        </w:rPr>
        <w:t>在全国的学术影响力</w:t>
      </w:r>
      <w:r>
        <w:rPr>
          <w:rFonts w:hint="eastAsia"/>
          <w:sz w:val="32"/>
          <w:szCs w:val="32"/>
          <w:lang w:val="en-US"/>
        </w:rPr>
        <w:t>尚</w:t>
      </w:r>
      <w:r>
        <w:rPr>
          <w:rFonts w:hint="eastAsia"/>
          <w:sz w:val="32"/>
          <w:szCs w:val="32"/>
        </w:rPr>
        <w:t>远远不够；</w:t>
      </w:r>
    </w:p>
    <w:p>
      <w:pPr>
        <w:spacing w:line="520" w:lineRule="exact"/>
        <w:ind w:firstLine="640" w:firstLineChars="200"/>
        <w:jc w:val="both"/>
        <w:rPr>
          <w:sz w:val="32"/>
          <w:szCs w:val="32"/>
        </w:rPr>
      </w:pPr>
      <w:r>
        <w:rPr>
          <w:rFonts w:hint="eastAsia"/>
          <w:sz w:val="32"/>
          <w:szCs w:val="32"/>
        </w:rPr>
        <w:t>二是学术氛围不够浓</w:t>
      </w:r>
      <w:r>
        <w:rPr>
          <w:rFonts w:hint="eastAsia"/>
          <w:sz w:val="32"/>
          <w:szCs w:val="32"/>
          <w:lang w:val="en-US"/>
        </w:rPr>
        <w:t>厚</w:t>
      </w:r>
      <w:r>
        <w:rPr>
          <w:rFonts w:hint="eastAsia"/>
          <w:sz w:val="32"/>
          <w:szCs w:val="32"/>
        </w:rPr>
        <w:t>，整体科研能力、特别是成果转化能力还需加强；</w:t>
      </w:r>
    </w:p>
    <w:p>
      <w:pPr>
        <w:spacing w:line="520" w:lineRule="exact"/>
        <w:ind w:firstLine="640" w:firstLineChars="200"/>
        <w:jc w:val="both"/>
        <w:rPr>
          <w:sz w:val="32"/>
          <w:szCs w:val="32"/>
        </w:rPr>
      </w:pPr>
      <w:r>
        <w:rPr>
          <w:rFonts w:hint="eastAsia"/>
          <w:sz w:val="32"/>
          <w:szCs w:val="32"/>
          <w:lang w:val="en-US"/>
        </w:rPr>
        <w:t>三是部分师生仍停留在“泛表演”的思维体系中，音乐学（师范）专业学生的教师资格证考试通过率远远不够，距离师范专业二级认证还有很大差距</w:t>
      </w:r>
      <w:r>
        <w:rPr>
          <w:rFonts w:hint="eastAsia"/>
          <w:sz w:val="32"/>
          <w:szCs w:val="32"/>
        </w:rPr>
        <w:t>；</w:t>
      </w:r>
    </w:p>
    <w:p>
      <w:pPr>
        <w:spacing w:line="520" w:lineRule="exact"/>
        <w:ind w:firstLine="640" w:firstLineChars="200"/>
        <w:jc w:val="both"/>
        <w:rPr>
          <w:sz w:val="32"/>
          <w:szCs w:val="32"/>
        </w:rPr>
      </w:pPr>
      <w:r>
        <w:rPr>
          <w:rFonts w:hint="eastAsia"/>
          <w:sz w:val="32"/>
          <w:szCs w:val="32"/>
        </w:rPr>
        <w:t>四是现代学院精细化治理体系建设有待加强，院、系、室三级运行机制需要进一步</w:t>
      </w:r>
      <w:r>
        <w:rPr>
          <w:rFonts w:hint="eastAsia"/>
          <w:sz w:val="32"/>
          <w:szCs w:val="32"/>
          <w:lang w:val="en-US"/>
        </w:rPr>
        <w:t>深化</w:t>
      </w:r>
      <w:r>
        <w:rPr>
          <w:rFonts w:hint="eastAsia"/>
          <w:sz w:val="32"/>
          <w:szCs w:val="32"/>
        </w:rPr>
        <w:t>；</w:t>
      </w:r>
    </w:p>
    <w:p>
      <w:pPr>
        <w:spacing w:line="520" w:lineRule="exact"/>
        <w:ind w:firstLine="640" w:firstLineChars="200"/>
        <w:jc w:val="both"/>
        <w:rPr>
          <w:sz w:val="32"/>
          <w:szCs w:val="32"/>
        </w:rPr>
      </w:pPr>
      <w:r>
        <w:rPr>
          <w:rFonts w:hint="eastAsia"/>
          <w:sz w:val="32"/>
          <w:szCs w:val="32"/>
          <w:lang w:val="en-US"/>
        </w:rPr>
        <w:t>五是实训场地与设施设备陈旧，排、练、演场地紧张</w:t>
      </w:r>
      <w:r>
        <w:rPr>
          <w:rFonts w:hint="eastAsia"/>
          <w:sz w:val="32"/>
          <w:szCs w:val="32"/>
        </w:rPr>
        <w:t>。</w:t>
      </w:r>
    </w:p>
    <w:p>
      <w:pPr>
        <w:spacing w:line="520" w:lineRule="exact"/>
        <w:jc w:val="both"/>
        <w:rPr>
          <w:rFonts w:ascii="华文中宋" w:hAnsi="华文中宋" w:eastAsia="华文中宋" w:cs="华文中宋"/>
          <w:sz w:val="32"/>
          <w:szCs w:val="32"/>
        </w:rPr>
      </w:pPr>
      <w:r>
        <w:rPr>
          <w:rFonts w:hint="eastAsia" w:ascii="华文中宋" w:hAnsi="华文中宋" w:eastAsia="华文中宋" w:cs="华文中宋"/>
          <w:sz w:val="32"/>
          <w:szCs w:val="32"/>
        </w:rPr>
        <w:br w:type="page"/>
      </w:r>
    </w:p>
    <w:p>
      <w:pPr>
        <w:jc w:val="center"/>
        <w:outlineLvl w:val="0"/>
        <w:rPr>
          <w:rFonts w:ascii="华文中宋" w:hAnsi="华文中宋" w:eastAsia="华文中宋" w:cs="华文中宋"/>
          <w:b/>
          <w:bCs/>
          <w:sz w:val="36"/>
          <w:szCs w:val="36"/>
          <w:lang w:val="en-US"/>
        </w:rPr>
      </w:pPr>
      <w:bookmarkStart w:id="14" w:name="_Toc80652880"/>
      <w:r>
        <w:rPr>
          <w:rFonts w:hint="eastAsia" w:ascii="华文中宋" w:hAnsi="华文中宋" w:eastAsia="华文中宋" w:cs="华文中宋"/>
          <w:b/>
          <w:bCs/>
          <w:sz w:val="36"/>
          <w:szCs w:val="36"/>
          <w:lang w:val="en-US"/>
        </w:rPr>
        <w:t>第二部分  指导思想与发展目标</w:t>
      </w:r>
      <w:bookmarkEnd w:id="14"/>
    </w:p>
    <w:p>
      <w:pPr>
        <w:spacing w:line="520" w:lineRule="exact"/>
        <w:jc w:val="both"/>
        <w:outlineLvl w:val="1"/>
        <w:rPr>
          <w:rFonts w:ascii="黑体" w:hAnsi="黑体" w:eastAsia="黑体" w:cs="黑体"/>
          <w:kern w:val="2"/>
          <w:sz w:val="32"/>
          <w:szCs w:val="32"/>
          <w:lang w:val="en-US" w:bidi="ar-SA"/>
        </w:rPr>
      </w:pPr>
      <w:bookmarkStart w:id="15" w:name="_Toc80652881"/>
    </w:p>
    <w:p>
      <w:pPr>
        <w:spacing w:line="520" w:lineRule="exact"/>
        <w:jc w:val="both"/>
        <w:outlineLvl w:val="1"/>
        <w:rPr>
          <w:rFonts w:ascii="黑体" w:hAnsi="黑体" w:eastAsia="黑体" w:cs="黑体"/>
          <w:kern w:val="2"/>
          <w:sz w:val="32"/>
          <w:szCs w:val="32"/>
          <w:lang w:val="en-US" w:bidi="ar-SA"/>
        </w:rPr>
      </w:pPr>
      <w:r>
        <w:rPr>
          <w:rFonts w:hint="eastAsia" w:ascii="黑体" w:hAnsi="黑体" w:eastAsia="黑体" w:cs="黑体"/>
          <w:kern w:val="2"/>
          <w:sz w:val="32"/>
          <w:szCs w:val="32"/>
          <w:lang w:val="en-US" w:bidi="ar-SA"/>
        </w:rPr>
        <w:t>一、指导思想</w:t>
      </w:r>
      <w:bookmarkEnd w:id="15"/>
    </w:p>
    <w:p>
      <w:pPr>
        <w:spacing w:line="520" w:lineRule="exact"/>
        <w:ind w:firstLine="640" w:firstLineChars="200"/>
        <w:jc w:val="both"/>
        <w:rPr>
          <w:sz w:val="32"/>
          <w:szCs w:val="32"/>
        </w:rPr>
      </w:pPr>
      <w:r>
        <w:rPr>
          <w:rFonts w:hint="eastAsia"/>
          <w:sz w:val="32"/>
          <w:szCs w:val="32"/>
        </w:rPr>
        <w:t>以习近平新时代中国特色社会主义思想为指导，全面落实立德树人根本任务，始终坚持学校“因地制宜、体现特色、服务地方”办学方针，弘扬“明体达用”校训，彰显“艰苦奋斗、自强不息、包容求新、博雅笃行”</w:t>
      </w:r>
      <w:r>
        <w:rPr>
          <w:rFonts w:hint="eastAsia"/>
          <w:sz w:val="32"/>
          <w:szCs w:val="32"/>
          <w:lang w:val="en-US"/>
        </w:rPr>
        <w:t>之</w:t>
      </w:r>
      <w:r>
        <w:rPr>
          <w:rFonts w:hint="eastAsia"/>
          <w:sz w:val="32"/>
          <w:szCs w:val="32"/>
        </w:rPr>
        <w:t>师院精神，明确“从教学型向教学研究型转型”的发展主题，致力于师范领域的人才培养与鲜明的应用特色科学研究，并以此服务“重要窗口”建设</w:t>
      </w:r>
      <w:r>
        <w:rPr>
          <w:rFonts w:hint="eastAsia"/>
          <w:sz w:val="32"/>
          <w:szCs w:val="32"/>
          <w:lang w:val="en-US"/>
        </w:rPr>
        <w:t>与“共富示范区”建设</w:t>
      </w:r>
      <w:r>
        <w:rPr>
          <w:rFonts w:hint="eastAsia"/>
          <w:sz w:val="32"/>
          <w:szCs w:val="32"/>
        </w:rPr>
        <w:t>的使命。强化“以生为本、以师为重、以研为要”的办学理念，推动艺术类学科建设和学院赶超发展。构建“目标认同、权责清晰、制度规范、考核精准、激励有效”的学院、学科、系部治理体系；完善政治、思想、组织、人才、政策、资源、智治、法治等八大保障体系。紧紧围绕学校建设“湖州师范大学”的总体目标，积极配合学校综合改革，不断深化推进工作。</w:t>
      </w:r>
    </w:p>
    <w:p>
      <w:pPr>
        <w:spacing w:line="520" w:lineRule="exact"/>
        <w:jc w:val="both"/>
        <w:outlineLvl w:val="1"/>
        <w:rPr>
          <w:rFonts w:ascii="黑体" w:hAnsi="黑体" w:eastAsia="黑体" w:cs="黑体"/>
          <w:kern w:val="2"/>
          <w:sz w:val="32"/>
          <w:szCs w:val="32"/>
          <w:lang w:val="en-US" w:bidi="ar-SA"/>
        </w:rPr>
      </w:pPr>
      <w:bookmarkStart w:id="16" w:name="_Toc80652882"/>
    </w:p>
    <w:p>
      <w:pPr>
        <w:spacing w:line="520" w:lineRule="exact"/>
        <w:jc w:val="both"/>
        <w:outlineLvl w:val="1"/>
        <w:rPr>
          <w:rFonts w:ascii="黑体" w:hAnsi="黑体" w:eastAsia="黑体" w:cs="黑体"/>
          <w:kern w:val="2"/>
          <w:sz w:val="32"/>
          <w:szCs w:val="32"/>
          <w:lang w:val="en-US" w:bidi="ar-SA"/>
        </w:rPr>
      </w:pPr>
      <w:r>
        <w:rPr>
          <w:rFonts w:hint="eastAsia" w:ascii="黑体" w:hAnsi="黑体" w:eastAsia="黑体" w:cs="黑体"/>
          <w:kern w:val="2"/>
          <w:sz w:val="32"/>
          <w:szCs w:val="32"/>
          <w:lang w:val="en-US" w:bidi="ar-SA"/>
        </w:rPr>
        <w:t>二、发展目标</w:t>
      </w:r>
      <w:bookmarkEnd w:id="16"/>
    </w:p>
    <w:p>
      <w:pPr>
        <w:spacing w:line="520" w:lineRule="exact"/>
        <w:ind w:firstLine="640" w:firstLineChars="200"/>
        <w:jc w:val="both"/>
        <w:rPr>
          <w:sz w:val="32"/>
          <w:szCs w:val="32"/>
        </w:rPr>
      </w:pPr>
      <w:r>
        <w:rPr>
          <w:rFonts w:hint="eastAsia"/>
          <w:sz w:val="32"/>
          <w:szCs w:val="32"/>
        </w:rPr>
        <w:t>“十四五”期间，</w:t>
      </w:r>
      <w:r>
        <w:rPr>
          <w:rFonts w:hint="eastAsia"/>
          <w:sz w:val="32"/>
          <w:szCs w:val="32"/>
          <w:lang w:val="en-US"/>
        </w:rPr>
        <w:t>音乐</w:t>
      </w:r>
      <w:r>
        <w:rPr>
          <w:rFonts w:hint="eastAsia"/>
          <w:sz w:val="32"/>
          <w:szCs w:val="32"/>
        </w:rPr>
        <w:t>学院将坚持以学科建设龙头、以人才培养工作为中心，大力推进</w:t>
      </w:r>
      <w:r>
        <w:rPr>
          <w:rFonts w:hint="eastAsia" w:ascii="华文楷体" w:hAnsi="华文楷体" w:eastAsia="华文楷体" w:cs="华文楷体"/>
          <w:b/>
          <w:bCs/>
          <w:sz w:val="32"/>
          <w:szCs w:val="32"/>
        </w:rPr>
        <w:t>“做优、做精、做强音乐学”</w:t>
      </w:r>
      <w:r>
        <w:rPr>
          <w:rFonts w:hint="eastAsia"/>
          <w:sz w:val="32"/>
          <w:szCs w:val="32"/>
        </w:rPr>
        <w:t>的主体思路，</w:t>
      </w:r>
      <w:r>
        <w:rPr>
          <w:rFonts w:hint="eastAsia"/>
          <w:sz w:val="32"/>
          <w:szCs w:val="32"/>
          <w:lang w:val="en-US"/>
        </w:rPr>
        <w:t>以</w:t>
      </w:r>
      <w:r>
        <w:rPr>
          <w:rFonts w:hint="eastAsia" w:ascii="华文楷体" w:hAnsi="华文楷体" w:eastAsia="华文楷体" w:cs="华文楷体"/>
          <w:b/>
          <w:bCs/>
          <w:sz w:val="32"/>
          <w:szCs w:val="32"/>
          <w:lang w:val="en-US"/>
        </w:rPr>
        <w:t>“本硕联动”</w:t>
      </w:r>
      <w:r>
        <w:rPr>
          <w:rFonts w:hint="eastAsia"/>
          <w:sz w:val="32"/>
          <w:szCs w:val="32"/>
          <w:lang w:val="en-US"/>
        </w:rPr>
        <w:t>的理念切实加强本科与</w:t>
      </w:r>
      <w:r>
        <w:rPr>
          <w:rFonts w:hint="eastAsia"/>
          <w:sz w:val="32"/>
          <w:szCs w:val="32"/>
        </w:rPr>
        <w:t>硕士</w:t>
      </w:r>
      <w:r>
        <w:rPr>
          <w:rFonts w:hint="eastAsia"/>
          <w:sz w:val="32"/>
          <w:szCs w:val="32"/>
          <w:lang w:val="en-US"/>
        </w:rPr>
        <w:t>研究生的全方位培养</w:t>
      </w:r>
      <w:r>
        <w:rPr>
          <w:rFonts w:hint="eastAsia"/>
          <w:sz w:val="32"/>
          <w:szCs w:val="32"/>
        </w:rPr>
        <w:t>。增强学院内涵实力、提升办学层次、</w:t>
      </w:r>
      <w:r>
        <w:rPr>
          <w:rFonts w:hint="eastAsia"/>
          <w:sz w:val="32"/>
          <w:szCs w:val="32"/>
          <w:lang w:val="en-US"/>
        </w:rPr>
        <w:t>扩大业内地位</w:t>
      </w:r>
      <w:r>
        <w:rPr>
          <w:rFonts w:hint="eastAsia"/>
          <w:sz w:val="32"/>
          <w:szCs w:val="32"/>
        </w:rPr>
        <w:t>。通过五年的建设</w:t>
      </w:r>
      <w:r>
        <w:rPr>
          <w:rFonts w:hint="eastAsia"/>
          <w:sz w:val="32"/>
          <w:szCs w:val="32"/>
          <w:lang w:val="en-US"/>
        </w:rPr>
        <w:t>，力争建成</w:t>
      </w:r>
      <w:r>
        <w:rPr>
          <w:rFonts w:hint="eastAsia" w:ascii="华文楷体" w:hAnsi="华文楷体" w:eastAsia="华文楷体" w:cs="华文楷体"/>
          <w:b/>
          <w:bCs/>
          <w:sz w:val="32"/>
          <w:szCs w:val="32"/>
        </w:rPr>
        <w:t>“在国内有一定影响、一定水平，在长三角地区特色鲜明、优势突出、有</w:t>
      </w:r>
      <w:r>
        <w:rPr>
          <w:rFonts w:hint="eastAsia" w:ascii="华文楷体" w:hAnsi="华文楷体" w:eastAsia="华文楷体" w:cs="华文楷体"/>
          <w:b/>
          <w:bCs/>
          <w:sz w:val="32"/>
          <w:szCs w:val="32"/>
          <w:lang w:val="en-US"/>
        </w:rPr>
        <w:t>显著</w:t>
      </w:r>
      <w:r>
        <w:rPr>
          <w:rFonts w:hint="eastAsia" w:ascii="华文楷体" w:hAnsi="华文楷体" w:eastAsia="华文楷体" w:cs="华文楷体"/>
          <w:b/>
          <w:bCs/>
          <w:sz w:val="32"/>
          <w:szCs w:val="32"/>
        </w:rPr>
        <w:t>地位”</w:t>
      </w:r>
      <w:r>
        <w:rPr>
          <w:rFonts w:hint="eastAsia"/>
          <w:sz w:val="32"/>
          <w:szCs w:val="32"/>
        </w:rPr>
        <w:t>的湖州师范大学音乐学院，</w:t>
      </w:r>
      <w:r>
        <w:rPr>
          <w:rFonts w:hint="eastAsia"/>
          <w:sz w:val="32"/>
          <w:szCs w:val="32"/>
          <w:lang w:val="en-US"/>
        </w:rPr>
        <w:t>并实现</w:t>
      </w:r>
      <w:r>
        <w:rPr>
          <w:rFonts w:hint="eastAsia" w:ascii="华文楷体" w:hAnsi="华文楷体" w:eastAsia="华文楷体" w:cs="华文楷体"/>
          <w:b/>
          <w:bCs/>
          <w:sz w:val="32"/>
          <w:szCs w:val="32"/>
          <w:lang w:val="en-US"/>
        </w:rPr>
        <w:t>某一</w:t>
      </w:r>
      <w:r>
        <w:rPr>
          <w:rFonts w:hint="eastAsia" w:ascii="华文楷体" w:hAnsi="华文楷体" w:eastAsia="华文楷体" w:cs="华文楷体"/>
          <w:b/>
          <w:bCs/>
          <w:sz w:val="32"/>
          <w:szCs w:val="32"/>
        </w:rPr>
        <w:t>领域达到全国领先水平</w:t>
      </w:r>
      <w:r>
        <w:rPr>
          <w:rFonts w:hint="eastAsia"/>
          <w:sz w:val="32"/>
          <w:szCs w:val="32"/>
        </w:rPr>
        <w:t>。</w:t>
      </w:r>
    </w:p>
    <w:p>
      <w:pPr>
        <w:spacing w:line="520" w:lineRule="exact"/>
        <w:ind w:firstLine="640" w:firstLineChars="200"/>
        <w:jc w:val="both"/>
        <w:rPr>
          <w:sz w:val="32"/>
          <w:szCs w:val="32"/>
          <w:lang w:val="en-US"/>
        </w:rPr>
      </w:pPr>
      <w:r>
        <w:rPr>
          <w:rFonts w:hint="eastAsia"/>
          <w:sz w:val="32"/>
          <w:szCs w:val="32"/>
          <w:lang w:val="en-US"/>
        </w:rPr>
        <w:t>计划到2025年，学院各项事业发展达到以下主要指标：</w:t>
      </w:r>
    </w:p>
    <w:p>
      <w:pPr>
        <w:spacing w:line="520" w:lineRule="exact"/>
        <w:ind w:firstLine="643" w:firstLineChars="200"/>
        <w:jc w:val="both"/>
        <w:rPr>
          <w:rFonts w:ascii="华文楷体" w:hAnsi="华文楷体" w:eastAsia="华文楷体" w:cs="华文楷体"/>
          <w:b/>
          <w:bCs/>
          <w:sz w:val="32"/>
          <w:szCs w:val="32"/>
          <w:lang w:val="en-US"/>
        </w:rPr>
      </w:pPr>
      <w:r>
        <w:rPr>
          <w:rFonts w:hint="eastAsia" w:ascii="华文楷体" w:hAnsi="华文楷体" w:eastAsia="华文楷体" w:cs="华文楷体"/>
          <w:b/>
          <w:bCs/>
          <w:sz w:val="32"/>
          <w:szCs w:val="32"/>
          <w:lang w:val="en-US"/>
        </w:rPr>
        <w:t>（一）办学规模</w:t>
      </w:r>
    </w:p>
    <w:p>
      <w:pPr>
        <w:spacing w:line="520" w:lineRule="exact"/>
        <w:ind w:firstLine="640" w:firstLineChars="200"/>
        <w:jc w:val="both"/>
        <w:rPr>
          <w:sz w:val="32"/>
          <w:szCs w:val="32"/>
        </w:rPr>
      </w:pPr>
      <w:r>
        <w:rPr>
          <w:rFonts w:hint="eastAsia"/>
          <w:sz w:val="32"/>
          <w:szCs w:val="32"/>
        </w:rPr>
        <w:t>坚持“以本为本”，全日制本科生控制在360人左右；大力发展研究生教育，研究生人数达到</w:t>
      </w:r>
      <w:r>
        <w:rPr>
          <w:rFonts w:hint="eastAsia"/>
          <w:sz w:val="32"/>
          <w:szCs w:val="32"/>
          <w:lang w:val="en-US"/>
        </w:rPr>
        <w:t>50-10</w:t>
      </w:r>
      <w:r>
        <w:rPr>
          <w:rFonts w:hint="eastAsia"/>
          <w:sz w:val="32"/>
          <w:szCs w:val="32"/>
        </w:rPr>
        <w:t>0人左右。</w:t>
      </w:r>
    </w:p>
    <w:p>
      <w:pPr>
        <w:spacing w:line="520" w:lineRule="exact"/>
        <w:ind w:firstLine="643" w:firstLineChars="200"/>
        <w:jc w:val="both"/>
        <w:rPr>
          <w:rFonts w:ascii="华文楷体" w:hAnsi="华文楷体" w:eastAsia="华文楷体" w:cs="华文楷体"/>
          <w:b/>
          <w:bCs/>
          <w:sz w:val="32"/>
          <w:szCs w:val="32"/>
          <w:lang w:val="en-US"/>
        </w:rPr>
      </w:pPr>
      <w:r>
        <w:rPr>
          <w:rFonts w:hint="eastAsia" w:ascii="华文楷体" w:hAnsi="华文楷体" w:eastAsia="华文楷体" w:cs="华文楷体"/>
          <w:b/>
          <w:bCs/>
          <w:sz w:val="32"/>
          <w:szCs w:val="32"/>
          <w:lang w:val="en-US"/>
        </w:rPr>
        <w:t>（二）学科专业</w:t>
      </w:r>
    </w:p>
    <w:p>
      <w:pPr>
        <w:spacing w:line="520" w:lineRule="exact"/>
        <w:ind w:firstLine="640" w:firstLineChars="200"/>
        <w:jc w:val="both"/>
        <w:rPr>
          <w:sz w:val="32"/>
          <w:szCs w:val="32"/>
        </w:rPr>
      </w:pPr>
      <w:r>
        <w:rPr>
          <w:rFonts w:hint="eastAsia"/>
          <w:sz w:val="32"/>
          <w:szCs w:val="32"/>
        </w:rPr>
        <w:t>明确师范为基、应用为要、研究为魂，完善</w:t>
      </w:r>
      <w:r>
        <w:rPr>
          <w:rFonts w:hint="eastAsia"/>
          <w:sz w:val="32"/>
          <w:szCs w:val="32"/>
          <w:lang w:val="en-US"/>
        </w:rPr>
        <w:t>“师范传承+时尚应用”</w:t>
      </w:r>
      <w:r>
        <w:rPr>
          <w:rFonts w:hint="eastAsia"/>
          <w:sz w:val="32"/>
          <w:szCs w:val="32"/>
        </w:rPr>
        <w:t>学科体系，聚焦</w:t>
      </w:r>
      <w:r>
        <w:rPr>
          <w:rFonts w:hint="eastAsia"/>
          <w:b/>
          <w:bCs/>
          <w:sz w:val="32"/>
          <w:szCs w:val="32"/>
        </w:rPr>
        <w:t>“</w:t>
      </w:r>
      <w:r>
        <w:rPr>
          <w:rFonts w:hint="eastAsia" w:ascii="华文楷体" w:hAnsi="华文楷体" w:eastAsia="华文楷体" w:cs="华文楷体"/>
          <w:b/>
          <w:bCs/>
          <w:sz w:val="32"/>
          <w:szCs w:val="32"/>
          <w:lang w:val="en-US"/>
        </w:rPr>
        <w:t>音乐师范教育、美育教育、艺术管理、舞台戏剧创演、乐器制作与维修</w:t>
      </w:r>
      <w:r>
        <w:rPr>
          <w:rFonts w:hint="eastAsia"/>
          <w:b/>
          <w:bCs/>
          <w:sz w:val="32"/>
          <w:szCs w:val="32"/>
        </w:rPr>
        <w:t>”</w:t>
      </w:r>
      <w:r>
        <w:rPr>
          <w:rFonts w:hint="eastAsia"/>
          <w:sz w:val="32"/>
          <w:szCs w:val="32"/>
        </w:rPr>
        <w:t>五大发展领域，形成重点学科和优势专业相融合的发展架构。实现音乐与舞蹈学专业硕士招生。新增学术学位点1个。</w:t>
      </w:r>
      <w:r>
        <w:rPr>
          <w:rFonts w:hint="eastAsia"/>
          <w:sz w:val="32"/>
          <w:szCs w:val="32"/>
          <w:lang w:val="en-US"/>
        </w:rPr>
        <w:t>冲刺戏剧与影视学专业硕士学位点。建成</w:t>
      </w:r>
      <w:r>
        <w:rPr>
          <w:rFonts w:hint="eastAsia"/>
          <w:sz w:val="32"/>
          <w:szCs w:val="32"/>
        </w:rPr>
        <w:t>省一流学科1个，省一流专业1个。音乐学（师范）实现专业</w:t>
      </w:r>
      <w:r>
        <w:rPr>
          <w:rFonts w:hint="eastAsia"/>
          <w:sz w:val="32"/>
          <w:szCs w:val="32"/>
          <w:lang w:val="en-US"/>
        </w:rPr>
        <w:t>二级</w:t>
      </w:r>
      <w:r>
        <w:rPr>
          <w:rFonts w:hint="eastAsia"/>
          <w:sz w:val="32"/>
          <w:szCs w:val="32"/>
        </w:rPr>
        <w:t>认证。</w:t>
      </w:r>
    </w:p>
    <w:p>
      <w:pPr>
        <w:spacing w:line="520" w:lineRule="exact"/>
        <w:ind w:firstLine="643" w:firstLineChars="200"/>
        <w:jc w:val="both"/>
        <w:rPr>
          <w:rFonts w:ascii="华文楷体" w:hAnsi="华文楷体" w:eastAsia="华文楷体" w:cs="华文楷体"/>
          <w:b/>
          <w:bCs/>
          <w:sz w:val="32"/>
          <w:szCs w:val="32"/>
          <w:lang w:val="en-US"/>
        </w:rPr>
      </w:pPr>
      <w:r>
        <w:rPr>
          <w:rFonts w:hint="eastAsia" w:ascii="华文楷体" w:hAnsi="华文楷体" w:eastAsia="华文楷体" w:cs="华文楷体"/>
          <w:b/>
          <w:bCs/>
          <w:sz w:val="32"/>
          <w:szCs w:val="32"/>
          <w:lang w:val="en-US"/>
        </w:rPr>
        <w:t>（三）师资队伍</w:t>
      </w:r>
    </w:p>
    <w:p>
      <w:pPr>
        <w:spacing w:line="520" w:lineRule="exact"/>
        <w:ind w:firstLine="640" w:firstLineChars="200"/>
        <w:jc w:val="both"/>
        <w:rPr>
          <w:sz w:val="32"/>
          <w:szCs w:val="32"/>
        </w:rPr>
      </w:pPr>
      <w:r>
        <w:rPr>
          <w:rFonts w:hint="eastAsia"/>
          <w:sz w:val="32"/>
          <w:szCs w:val="32"/>
        </w:rPr>
        <w:t>完善人才发展体系，加大引育力度，优化师资结构，提高师资水平。</w:t>
      </w:r>
      <w:r>
        <w:rPr>
          <w:rFonts w:hint="eastAsia"/>
          <w:sz w:val="32"/>
          <w:szCs w:val="32"/>
          <w:lang w:val="en-US"/>
        </w:rPr>
        <w:t>实现</w:t>
      </w:r>
      <w:r>
        <w:rPr>
          <w:rFonts w:hint="eastAsia"/>
          <w:sz w:val="32"/>
          <w:szCs w:val="32"/>
        </w:rPr>
        <w:t>专任教师队伍总数达到4</w:t>
      </w:r>
      <w:r>
        <w:rPr>
          <w:rFonts w:hint="eastAsia"/>
          <w:sz w:val="32"/>
          <w:szCs w:val="32"/>
          <w:lang w:val="en-US"/>
        </w:rPr>
        <w:t>2</w:t>
      </w:r>
      <w:r>
        <w:rPr>
          <w:rFonts w:hint="eastAsia"/>
          <w:sz w:val="32"/>
          <w:szCs w:val="32"/>
        </w:rPr>
        <w:t>人以上，专任教师中具有博士学位的教师比例达到</w:t>
      </w:r>
      <w:r>
        <w:rPr>
          <w:rFonts w:hint="eastAsia"/>
          <w:sz w:val="32"/>
          <w:szCs w:val="32"/>
          <w:lang w:val="en-US"/>
        </w:rPr>
        <w:t>6</w:t>
      </w:r>
      <w:r>
        <w:rPr>
          <w:rFonts w:hint="eastAsia"/>
          <w:sz w:val="32"/>
          <w:szCs w:val="32"/>
        </w:rPr>
        <w:t>0%以上，师资国际化率达到4</w:t>
      </w:r>
      <w:r>
        <w:rPr>
          <w:rFonts w:hint="eastAsia"/>
          <w:sz w:val="32"/>
          <w:szCs w:val="32"/>
          <w:lang w:val="en-US"/>
        </w:rPr>
        <w:t>5</w:t>
      </w:r>
      <w:r>
        <w:rPr>
          <w:rFonts w:hint="eastAsia"/>
          <w:sz w:val="32"/>
          <w:szCs w:val="32"/>
        </w:rPr>
        <w:t>%以上。</w:t>
      </w:r>
      <w:r>
        <w:rPr>
          <w:rFonts w:hint="eastAsia"/>
          <w:sz w:val="32"/>
          <w:szCs w:val="32"/>
          <w:lang w:val="en-US"/>
        </w:rPr>
        <w:t>力争</w:t>
      </w:r>
      <w:r>
        <w:rPr>
          <w:rFonts w:hint="eastAsia"/>
          <w:sz w:val="32"/>
          <w:szCs w:val="32"/>
        </w:rPr>
        <w:t>新增国家级人才1人，省</w:t>
      </w:r>
      <w:r>
        <w:rPr>
          <w:rFonts w:hint="eastAsia"/>
          <w:sz w:val="32"/>
          <w:szCs w:val="32"/>
          <w:lang w:val="en-US"/>
        </w:rPr>
        <w:t>部</w:t>
      </w:r>
      <w:r>
        <w:rPr>
          <w:rFonts w:hint="eastAsia"/>
          <w:sz w:val="32"/>
          <w:szCs w:val="32"/>
        </w:rPr>
        <w:t>级</w:t>
      </w:r>
      <w:r>
        <w:rPr>
          <w:rFonts w:hint="eastAsia"/>
          <w:sz w:val="32"/>
          <w:szCs w:val="32"/>
          <w:lang w:val="en-US"/>
        </w:rPr>
        <w:t>创新创业</w:t>
      </w:r>
      <w:r>
        <w:rPr>
          <w:rFonts w:hint="eastAsia"/>
          <w:sz w:val="32"/>
          <w:szCs w:val="32"/>
        </w:rPr>
        <w:t>领军人才</w:t>
      </w:r>
      <w:r>
        <w:rPr>
          <w:rFonts w:hint="eastAsia"/>
          <w:sz w:val="32"/>
          <w:szCs w:val="32"/>
          <w:lang w:val="en-US"/>
        </w:rPr>
        <w:t>1-</w:t>
      </w:r>
      <w:r>
        <w:rPr>
          <w:rFonts w:hint="eastAsia"/>
          <w:sz w:val="32"/>
          <w:szCs w:val="32"/>
        </w:rPr>
        <w:t>2人。建成一批音乐、</w:t>
      </w:r>
      <w:r>
        <w:rPr>
          <w:rFonts w:hint="eastAsia"/>
          <w:sz w:val="32"/>
          <w:szCs w:val="32"/>
          <w:lang w:val="en-US"/>
        </w:rPr>
        <w:t>戏剧</w:t>
      </w:r>
      <w:r>
        <w:rPr>
          <w:rFonts w:hint="eastAsia"/>
          <w:sz w:val="32"/>
          <w:szCs w:val="32"/>
        </w:rPr>
        <w:t>艺术创新创业团队，培育一批学术</w:t>
      </w:r>
      <w:r>
        <w:rPr>
          <w:rFonts w:hint="eastAsia"/>
          <w:sz w:val="32"/>
          <w:szCs w:val="32"/>
          <w:lang w:val="en-US"/>
        </w:rPr>
        <w:t>拔尖</w:t>
      </w:r>
      <w:r>
        <w:rPr>
          <w:rFonts w:hint="eastAsia"/>
          <w:sz w:val="32"/>
          <w:szCs w:val="32"/>
        </w:rPr>
        <w:t>人才。</w:t>
      </w:r>
    </w:p>
    <w:p>
      <w:pPr>
        <w:spacing w:line="520" w:lineRule="exact"/>
        <w:ind w:firstLine="643" w:firstLineChars="200"/>
        <w:jc w:val="both"/>
        <w:rPr>
          <w:rFonts w:ascii="华文楷体" w:hAnsi="华文楷体" w:eastAsia="华文楷体" w:cs="华文楷体"/>
          <w:b/>
          <w:bCs/>
          <w:sz w:val="32"/>
          <w:szCs w:val="32"/>
          <w:lang w:val="en-US"/>
        </w:rPr>
      </w:pPr>
      <w:r>
        <w:rPr>
          <w:rFonts w:hint="eastAsia" w:ascii="华文楷体" w:hAnsi="华文楷体" w:eastAsia="华文楷体" w:cs="华文楷体"/>
          <w:b/>
          <w:bCs/>
          <w:sz w:val="32"/>
          <w:szCs w:val="32"/>
          <w:lang w:val="en-US"/>
        </w:rPr>
        <w:t>（四）人才培养</w:t>
      </w:r>
    </w:p>
    <w:p>
      <w:pPr>
        <w:spacing w:line="520" w:lineRule="exact"/>
        <w:ind w:firstLine="640" w:firstLineChars="200"/>
        <w:jc w:val="both"/>
        <w:rPr>
          <w:sz w:val="32"/>
          <w:szCs w:val="32"/>
        </w:rPr>
      </w:pPr>
      <w:r>
        <w:rPr>
          <w:rFonts w:hint="eastAsia"/>
          <w:sz w:val="32"/>
          <w:szCs w:val="32"/>
        </w:rPr>
        <w:t>以“明体达用”人才培养为目标，不断推进“校地共育”人才培养模式改革。获省级教学改革项目</w:t>
      </w:r>
      <w:r>
        <w:rPr>
          <w:rFonts w:hint="eastAsia"/>
          <w:sz w:val="32"/>
          <w:szCs w:val="32"/>
          <w:lang w:val="en-US"/>
        </w:rPr>
        <w:t>2-</w:t>
      </w:r>
      <w:r>
        <w:rPr>
          <w:rFonts w:hint="eastAsia"/>
          <w:sz w:val="32"/>
          <w:szCs w:val="32"/>
        </w:rPr>
        <w:t>3项，获省级教学成果奖1项。</w:t>
      </w:r>
      <w:r>
        <w:rPr>
          <w:rFonts w:hint="eastAsia"/>
          <w:sz w:val="32"/>
          <w:szCs w:val="32"/>
          <w:lang w:val="en-US"/>
        </w:rPr>
        <w:t>入选</w:t>
      </w:r>
      <w:r>
        <w:rPr>
          <w:rFonts w:hint="eastAsia"/>
          <w:sz w:val="32"/>
          <w:szCs w:val="32"/>
        </w:rPr>
        <w:t>国家一流本科课程1</w:t>
      </w:r>
      <w:r>
        <w:rPr>
          <w:rFonts w:hint="eastAsia"/>
          <w:sz w:val="32"/>
          <w:szCs w:val="32"/>
          <w:lang w:val="en-US"/>
        </w:rPr>
        <w:t>-2</w:t>
      </w:r>
      <w:r>
        <w:rPr>
          <w:rFonts w:hint="eastAsia"/>
          <w:sz w:val="32"/>
          <w:szCs w:val="32"/>
        </w:rPr>
        <w:t>门、国家精品在线开放课程2-3个。实现国家级、</w:t>
      </w:r>
      <w:r>
        <w:rPr>
          <w:rFonts w:hint="eastAsia"/>
          <w:sz w:val="32"/>
          <w:szCs w:val="32"/>
          <w:lang w:val="en-US"/>
        </w:rPr>
        <w:t>省部级大学生</w:t>
      </w:r>
      <w:r>
        <w:rPr>
          <w:rFonts w:hint="eastAsia"/>
          <w:sz w:val="32"/>
          <w:szCs w:val="32"/>
        </w:rPr>
        <w:t>创新、创业竞赛（</w:t>
      </w:r>
      <w:r>
        <w:rPr>
          <w:rFonts w:hint="eastAsia"/>
          <w:sz w:val="32"/>
          <w:szCs w:val="32"/>
          <w:lang w:val="en-US"/>
        </w:rPr>
        <w:t>如“挑战杯”大赛、“互联网+”大赛等</w:t>
      </w:r>
      <w:r>
        <w:rPr>
          <w:rFonts w:hint="eastAsia"/>
          <w:sz w:val="32"/>
          <w:szCs w:val="32"/>
        </w:rPr>
        <w:t>）全覆盖。</w:t>
      </w:r>
      <w:r>
        <w:rPr>
          <w:rFonts w:hint="eastAsia"/>
          <w:sz w:val="32"/>
          <w:szCs w:val="32"/>
          <w:lang w:val="en-US"/>
        </w:rPr>
        <w:t>力争</w:t>
      </w:r>
      <w:r>
        <w:rPr>
          <w:rFonts w:hint="eastAsia"/>
          <w:sz w:val="32"/>
          <w:szCs w:val="32"/>
        </w:rPr>
        <w:t>国际标志性竞赛获奖1-2个。学生就业率达95%以上，学生满意度达</w:t>
      </w:r>
      <w:r>
        <w:rPr>
          <w:rFonts w:hint="eastAsia"/>
          <w:sz w:val="32"/>
          <w:szCs w:val="32"/>
          <w:lang w:val="en-US"/>
        </w:rPr>
        <w:t>90</w:t>
      </w:r>
      <w:r>
        <w:rPr>
          <w:rFonts w:hint="eastAsia"/>
          <w:sz w:val="32"/>
          <w:szCs w:val="32"/>
        </w:rPr>
        <w:t>%以上，学生考研率达到</w:t>
      </w:r>
      <w:r>
        <w:rPr>
          <w:rFonts w:hint="eastAsia"/>
          <w:sz w:val="32"/>
          <w:szCs w:val="32"/>
          <w:lang w:val="en-US"/>
        </w:rPr>
        <w:t>4</w:t>
      </w:r>
      <w:r>
        <w:rPr>
          <w:rFonts w:hint="eastAsia"/>
          <w:sz w:val="32"/>
          <w:szCs w:val="32"/>
        </w:rPr>
        <w:t>0%以上。</w:t>
      </w:r>
    </w:p>
    <w:p>
      <w:pPr>
        <w:spacing w:line="520" w:lineRule="exact"/>
        <w:ind w:firstLine="643" w:firstLineChars="200"/>
        <w:jc w:val="both"/>
        <w:rPr>
          <w:rFonts w:ascii="华文楷体" w:hAnsi="华文楷体" w:eastAsia="华文楷体" w:cs="华文楷体"/>
          <w:b/>
          <w:bCs/>
          <w:sz w:val="32"/>
          <w:szCs w:val="32"/>
          <w:lang w:val="en-US"/>
        </w:rPr>
      </w:pPr>
      <w:r>
        <w:rPr>
          <w:rFonts w:hint="eastAsia" w:ascii="华文楷体" w:hAnsi="华文楷体" w:eastAsia="华文楷体" w:cs="华文楷体"/>
          <w:b/>
          <w:bCs/>
          <w:sz w:val="32"/>
          <w:szCs w:val="32"/>
          <w:lang w:val="en-US"/>
        </w:rPr>
        <w:t>（五）科学研究</w:t>
      </w:r>
    </w:p>
    <w:p>
      <w:pPr>
        <w:spacing w:line="520" w:lineRule="exact"/>
        <w:ind w:firstLine="640" w:firstLineChars="200"/>
        <w:jc w:val="both"/>
        <w:rPr>
          <w:sz w:val="32"/>
          <w:szCs w:val="32"/>
        </w:rPr>
      </w:pPr>
      <w:r>
        <w:rPr>
          <w:rFonts w:hint="eastAsia"/>
          <w:sz w:val="32"/>
          <w:szCs w:val="32"/>
        </w:rPr>
        <w:t>获教育部高校人文社会科学优秀成果奖1项、省哲学社会科学优秀成果奖1项。新增省部级科研平台1个。国家级项目年均1项以上、省部级项目年均</w:t>
      </w:r>
      <w:r>
        <w:rPr>
          <w:rFonts w:hint="eastAsia"/>
          <w:sz w:val="32"/>
          <w:szCs w:val="32"/>
          <w:lang w:val="en-US"/>
        </w:rPr>
        <w:t>1-</w:t>
      </w:r>
      <w:r>
        <w:rPr>
          <w:rFonts w:hint="eastAsia"/>
          <w:sz w:val="32"/>
          <w:szCs w:val="32"/>
        </w:rPr>
        <w:t>2项，实现国家艺术基金项目零的突破，</w:t>
      </w:r>
      <w:r>
        <w:rPr>
          <w:rFonts w:hint="eastAsia"/>
          <w:sz w:val="32"/>
          <w:szCs w:val="32"/>
          <w:lang w:val="en-US"/>
        </w:rPr>
        <w:t>并</w:t>
      </w:r>
      <w:r>
        <w:rPr>
          <w:rFonts w:hint="eastAsia"/>
          <w:sz w:val="32"/>
          <w:szCs w:val="32"/>
        </w:rPr>
        <w:t>力争获得2-3项。</w:t>
      </w:r>
      <w:r>
        <w:rPr>
          <w:rFonts w:hint="eastAsia"/>
          <w:sz w:val="32"/>
          <w:szCs w:val="32"/>
          <w:lang w:val="en-US"/>
        </w:rPr>
        <w:t>纵向</w:t>
      </w:r>
      <w:r>
        <w:rPr>
          <w:rFonts w:hint="eastAsia"/>
          <w:sz w:val="32"/>
          <w:szCs w:val="32"/>
        </w:rPr>
        <w:t>科研经费达100万元，</w:t>
      </w:r>
      <w:r>
        <w:rPr>
          <w:rFonts w:hint="eastAsia"/>
          <w:sz w:val="32"/>
          <w:szCs w:val="32"/>
          <w:lang w:val="en-US"/>
        </w:rPr>
        <w:t>横向科研经费不少于200万元</w:t>
      </w:r>
      <w:r>
        <w:rPr>
          <w:rFonts w:hint="eastAsia"/>
          <w:sz w:val="32"/>
          <w:szCs w:val="32"/>
        </w:rPr>
        <w:t>。</w:t>
      </w:r>
    </w:p>
    <w:p>
      <w:pPr>
        <w:spacing w:line="520" w:lineRule="exact"/>
        <w:ind w:firstLine="643" w:firstLineChars="200"/>
        <w:jc w:val="both"/>
        <w:rPr>
          <w:rFonts w:ascii="华文楷体" w:hAnsi="华文楷体" w:eastAsia="华文楷体" w:cs="华文楷体"/>
          <w:b/>
          <w:bCs/>
          <w:sz w:val="32"/>
          <w:szCs w:val="32"/>
          <w:lang w:val="en-US"/>
        </w:rPr>
      </w:pPr>
      <w:r>
        <w:rPr>
          <w:rFonts w:hint="eastAsia" w:ascii="华文楷体" w:hAnsi="华文楷体" w:eastAsia="华文楷体" w:cs="华文楷体"/>
          <w:b/>
          <w:bCs/>
          <w:sz w:val="32"/>
          <w:szCs w:val="32"/>
          <w:lang w:val="en-US"/>
        </w:rPr>
        <w:t>（六）社会服务</w:t>
      </w:r>
    </w:p>
    <w:p>
      <w:pPr>
        <w:spacing w:line="520" w:lineRule="exact"/>
        <w:ind w:firstLine="640" w:firstLineChars="200"/>
        <w:jc w:val="both"/>
        <w:rPr>
          <w:sz w:val="32"/>
          <w:szCs w:val="32"/>
        </w:rPr>
      </w:pPr>
      <w:r>
        <w:rPr>
          <w:rFonts w:hint="eastAsia"/>
          <w:sz w:val="32"/>
          <w:szCs w:val="32"/>
        </w:rPr>
        <w:t>完善服务地方激励机制，落地高水平“城市与大学命运共同体”。与政府及企事业单位共建研发中心2-3个。力争百万以上项目2项以上。服务地方经费达500万元以上。建成“都市音乐</w:t>
      </w:r>
      <w:r>
        <w:rPr>
          <w:rFonts w:hint="eastAsia"/>
          <w:sz w:val="32"/>
          <w:szCs w:val="32"/>
          <w:lang w:val="en-US"/>
        </w:rPr>
        <w:t>创</w:t>
      </w:r>
      <w:r>
        <w:rPr>
          <w:rFonts w:hint="eastAsia"/>
          <w:sz w:val="32"/>
          <w:szCs w:val="32"/>
        </w:rPr>
        <w:t>研演中心”、“中国音乐剧创演研基地”、“</w:t>
      </w:r>
      <w:r>
        <w:rPr>
          <w:rFonts w:hint="eastAsia"/>
          <w:sz w:val="32"/>
          <w:szCs w:val="32"/>
          <w:lang w:val="en-US"/>
        </w:rPr>
        <w:t>蚕桑丝绸音乐文化研究中心</w:t>
      </w:r>
      <w:r>
        <w:rPr>
          <w:rFonts w:hint="eastAsia"/>
          <w:sz w:val="32"/>
          <w:szCs w:val="32"/>
        </w:rPr>
        <w:t>”、“</w:t>
      </w:r>
      <w:r>
        <w:rPr>
          <w:rFonts w:hint="eastAsia"/>
          <w:sz w:val="32"/>
          <w:szCs w:val="32"/>
          <w:lang w:val="en-US"/>
        </w:rPr>
        <w:t>演出经营与剧场管理高端人才孵化中心</w:t>
      </w:r>
      <w:r>
        <w:rPr>
          <w:rFonts w:hint="eastAsia"/>
          <w:sz w:val="32"/>
          <w:szCs w:val="32"/>
        </w:rPr>
        <w:t>”</w:t>
      </w:r>
      <w:r>
        <w:rPr>
          <w:rFonts w:hint="eastAsia"/>
          <w:sz w:val="32"/>
          <w:szCs w:val="32"/>
          <w:lang w:val="en-US"/>
        </w:rPr>
        <w:t>等</w:t>
      </w:r>
      <w:r>
        <w:rPr>
          <w:rFonts w:hint="eastAsia"/>
          <w:sz w:val="32"/>
          <w:szCs w:val="32"/>
        </w:rPr>
        <w:t>。</w:t>
      </w:r>
    </w:p>
    <w:p>
      <w:pPr>
        <w:spacing w:line="520" w:lineRule="exact"/>
        <w:ind w:firstLine="643" w:firstLineChars="200"/>
        <w:jc w:val="both"/>
        <w:rPr>
          <w:rFonts w:ascii="华文楷体" w:hAnsi="华文楷体" w:eastAsia="华文楷体" w:cs="华文楷体"/>
          <w:b/>
          <w:bCs/>
          <w:sz w:val="32"/>
          <w:szCs w:val="32"/>
          <w:lang w:val="en-US"/>
        </w:rPr>
      </w:pPr>
      <w:r>
        <w:rPr>
          <w:rFonts w:hint="eastAsia" w:ascii="华文楷体" w:hAnsi="华文楷体" w:eastAsia="华文楷体" w:cs="华文楷体"/>
          <w:b/>
          <w:bCs/>
          <w:sz w:val="32"/>
          <w:szCs w:val="32"/>
          <w:lang w:val="en-US"/>
        </w:rPr>
        <w:t>（七）实验室建设</w:t>
      </w:r>
    </w:p>
    <w:p>
      <w:pPr>
        <w:spacing w:line="520" w:lineRule="exact"/>
        <w:ind w:firstLine="640" w:firstLineChars="200"/>
        <w:jc w:val="both"/>
        <w:rPr>
          <w:sz w:val="32"/>
          <w:szCs w:val="32"/>
        </w:rPr>
      </w:pPr>
      <w:r>
        <w:rPr>
          <w:rFonts w:hint="eastAsia"/>
          <w:sz w:val="32"/>
          <w:szCs w:val="32"/>
        </w:rPr>
        <w:t>力争培育建设省级重点实验室</w:t>
      </w:r>
      <w:r>
        <w:rPr>
          <w:rFonts w:hint="eastAsia"/>
          <w:sz w:val="32"/>
          <w:szCs w:val="32"/>
          <w:lang w:val="en-US"/>
        </w:rPr>
        <w:t>与</w:t>
      </w:r>
      <w:r>
        <w:rPr>
          <w:rFonts w:hint="eastAsia"/>
          <w:sz w:val="32"/>
          <w:szCs w:val="32"/>
        </w:rPr>
        <w:t>省级重点实验教学示范中心（项目）1个、国家级虚拟仿真实验教学项目1</w:t>
      </w:r>
      <w:r>
        <w:rPr>
          <w:rFonts w:hint="eastAsia"/>
          <w:sz w:val="32"/>
          <w:szCs w:val="32"/>
          <w:lang w:val="en-US"/>
        </w:rPr>
        <w:t>项</w:t>
      </w:r>
      <w:r>
        <w:rPr>
          <w:rFonts w:hint="eastAsia"/>
          <w:sz w:val="32"/>
          <w:szCs w:val="32"/>
        </w:rPr>
        <w:t>、省级虚拟仿真实验教学项目2项。教学科研仪器设备总值达到500万元，年均实验室建设经费投入不少于30万元。</w:t>
      </w:r>
    </w:p>
    <w:p>
      <w:pPr>
        <w:spacing w:line="520" w:lineRule="exact"/>
        <w:ind w:firstLine="643" w:firstLineChars="200"/>
        <w:jc w:val="both"/>
        <w:rPr>
          <w:rFonts w:ascii="华文楷体" w:hAnsi="华文楷体" w:eastAsia="华文楷体" w:cs="华文楷体"/>
          <w:b/>
          <w:bCs/>
          <w:sz w:val="32"/>
          <w:szCs w:val="32"/>
          <w:lang w:val="en-US"/>
        </w:rPr>
      </w:pPr>
      <w:r>
        <w:rPr>
          <w:rFonts w:hint="eastAsia" w:ascii="华文楷体" w:hAnsi="华文楷体" w:eastAsia="华文楷体" w:cs="华文楷体"/>
          <w:b/>
          <w:bCs/>
          <w:sz w:val="32"/>
          <w:szCs w:val="32"/>
          <w:lang w:val="en-US"/>
        </w:rPr>
        <w:t>（八）国际合作</w:t>
      </w:r>
    </w:p>
    <w:p>
      <w:pPr>
        <w:spacing w:line="520" w:lineRule="exact"/>
        <w:ind w:firstLine="640" w:firstLineChars="200"/>
        <w:jc w:val="both"/>
        <w:rPr>
          <w:sz w:val="32"/>
          <w:szCs w:val="32"/>
        </w:rPr>
      </w:pPr>
      <w:r>
        <w:rPr>
          <w:rFonts w:hint="eastAsia"/>
          <w:sz w:val="32"/>
          <w:szCs w:val="32"/>
          <w:lang w:val="en-US"/>
        </w:rPr>
        <w:t>与</w:t>
      </w:r>
      <w:r>
        <w:rPr>
          <w:rFonts w:hint="eastAsia"/>
          <w:sz w:val="32"/>
          <w:szCs w:val="32"/>
        </w:rPr>
        <w:t>国际</w:t>
      </w:r>
      <w:r>
        <w:rPr>
          <w:rFonts w:hint="eastAsia"/>
          <w:sz w:val="32"/>
          <w:szCs w:val="32"/>
          <w:lang w:val="en-US"/>
        </w:rPr>
        <w:t>著名音乐、戏剧、影视院校</w:t>
      </w:r>
      <w:r>
        <w:rPr>
          <w:rFonts w:hint="eastAsia"/>
          <w:sz w:val="32"/>
          <w:szCs w:val="32"/>
        </w:rPr>
        <w:t>合作达3所以上，与3个以上国际</w:t>
      </w:r>
      <w:r>
        <w:rPr>
          <w:rFonts w:hint="eastAsia"/>
          <w:sz w:val="32"/>
          <w:szCs w:val="32"/>
          <w:lang w:val="en-US"/>
        </w:rPr>
        <w:t>权威</w:t>
      </w:r>
      <w:r>
        <w:rPr>
          <w:rFonts w:hint="eastAsia"/>
          <w:sz w:val="32"/>
          <w:szCs w:val="32"/>
        </w:rPr>
        <w:t>学术组织紧密合作与互动。中外合作项目1-2个。全英语和双语授课课程达到全院开设课程5%以上。</w:t>
      </w:r>
    </w:p>
    <w:p>
      <w:pPr>
        <w:spacing w:line="520" w:lineRule="exact"/>
        <w:rPr>
          <w:sz w:val="32"/>
          <w:szCs w:val="32"/>
        </w:rPr>
      </w:pPr>
    </w:p>
    <w:p>
      <w:pPr>
        <w:spacing w:line="520" w:lineRule="exact"/>
        <w:rPr>
          <w:rFonts w:ascii="华文中宋" w:hAnsi="华文中宋" w:eastAsia="华文中宋" w:cs="华文中宋"/>
          <w:sz w:val="32"/>
          <w:szCs w:val="32"/>
        </w:rPr>
      </w:pPr>
      <w:r>
        <w:rPr>
          <w:rFonts w:hint="eastAsia" w:ascii="华文中宋" w:hAnsi="华文中宋" w:eastAsia="华文中宋" w:cs="华文中宋"/>
          <w:sz w:val="32"/>
          <w:szCs w:val="32"/>
        </w:rPr>
        <w:br w:type="page"/>
      </w:r>
    </w:p>
    <w:p>
      <w:pPr>
        <w:jc w:val="center"/>
        <w:outlineLvl w:val="0"/>
        <w:rPr>
          <w:rFonts w:ascii="华文中宋" w:hAnsi="华文中宋" w:eastAsia="华文中宋" w:cs="华文中宋"/>
          <w:b/>
          <w:bCs/>
          <w:sz w:val="36"/>
          <w:szCs w:val="36"/>
          <w:lang w:val="en-US"/>
        </w:rPr>
      </w:pPr>
      <w:bookmarkStart w:id="17" w:name="_Toc80652883"/>
      <w:r>
        <w:rPr>
          <w:rFonts w:hint="eastAsia" w:ascii="华文中宋" w:hAnsi="华文中宋" w:eastAsia="华文中宋" w:cs="华文中宋"/>
          <w:b/>
          <w:bCs/>
          <w:sz w:val="36"/>
          <w:szCs w:val="36"/>
          <w:lang w:val="en-US"/>
        </w:rPr>
        <w:t>第三部分  重点任务与主要工作</w:t>
      </w:r>
      <w:bookmarkEnd w:id="17"/>
    </w:p>
    <w:p>
      <w:pPr>
        <w:spacing w:line="520" w:lineRule="exact"/>
        <w:jc w:val="both"/>
        <w:outlineLvl w:val="1"/>
        <w:rPr>
          <w:rFonts w:ascii="黑体" w:hAnsi="黑体" w:eastAsia="黑体" w:cs="黑体"/>
          <w:kern w:val="2"/>
          <w:sz w:val="32"/>
          <w:szCs w:val="32"/>
          <w:lang w:val="en-US" w:bidi="ar-SA"/>
        </w:rPr>
      </w:pPr>
      <w:bookmarkStart w:id="18" w:name="_Toc80652884"/>
    </w:p>
    <w:p>
      <w:pPr>
        <w:spacing w:line="520" w:lineRule="exact"/>
        <w:jc w:val="both"/>
        <w:outlineLvl w:val="1"/>
        <w:rPr>
          <w:rFonts w:ascii="黑体" w:hAnsi="黑体" w:eastAsia="黑体" w:cs="黑体"/>
          <w:kern w:val="2"/>
          <w:sz w:val="32"/>
          <w:szCs w:val="32"/>
          <w:lang w:val="en-US" w:bidi="ar-SA"/>
        </w:rPr>
      </w:pPr>
      <w:r>
        <w:rPr>
          <w:rFonts w:hint="eastAsia" w:ascii="黑体" w:hAnsi="黑体" w:eastAsia="黑体" w:cs="黑体"/>
          <w:kern w:val="2"/>
          <w:sz w:val="32"/>
          <w:szCs w:val="32"/>
          <w:lang w:val="en-US" w:bidi="ar-SA"/>
        </w:rPr>
        <w:t>一、重点任务</w:t>
      </w:r>
      <w:bookmarkEnd w:id="18"/>
    </w:p>
    <w:p>
      <w:pPr>
        <w:spacing w:line="520" w:lineRule="exact"/>
        <w:ind w:firstLine="643" w:firstLineChars="200"/>
        <w:jc w:val="both"/>
        <w:outlineLvl w:val="2"/>
        <w:rPr>
          <w:rFonts w:ascii="楷体" w:hAnsi="楷体" w:eastAsia="楷体" w:cstheme="minorBidi"/>
          <w:b/>
          <w:kern w:val="2"/>
          <w:sz w:val="32"/>
          <w:szCs w:val="32"/>
          <w:lang w:val="en-US" w:bidi="ar-SA"/>
        </w:rPr>
      </w:pPr>
      <w:bookmarkStart w:id="19" w:name="_Toc80652885"/>
      <w:r>
        <w:rPr>
          <w:rFonts w:hint="eastAsia" w:ascii="楷体" w:hAnsi="楷体" w:eastAsia="楷体" w:cstheme="minorBidi"/>
          <w:b/>
          <w:kern w:val="2"/>
          <w:sz w:val="32"/>
          <w:szCs w:val="32"/>
          <w:lang w:val="en-US" w:bidi="ar-SA"/>
        </w:rPr>
        <w:t>（一）硕士领域拓展工程</w:t>
      </w:r>
      <w:bookmarkEnd w:id="19"/>
    </w:p>
    <w:p>
      <w:pPr>
        <w:spacing w:line="520" w:lineRule="exact"/>
        <w:ind w:firstLine="640" w:firstLineChars="200"/>
        <w:jc w:val="both"/>
        <w:rPr>
          <w:sz w:val="32"/>
          <w:szCs w:val="32"/>
          <w:lang w:val="en-US"/>
        </w:rPr>
      </w:pPr>
      <w:r>
        <w:rPr>
          <w:rFonts w:hint="eastAsia"/>
          <w:sz w:val="32"/>
          <w:szCs w:val="32"/>
        </w:rPr>
        <w:t>从团队凝练、特色培育、理论研究、专业创作、人才培养、本硕士联动、博士生联合培养等多个维度入手，夯实基础、勇抓机遇，切实做好“艺术硕士”</w:t>
      </w:r>
      <w:r>
        <w:rPr>
          <w:rFonts w:hint="eastAsia"/>
          <w:sz w:val="32"/>
          <w:szCs w:val="32"/>
          <w:lang w:val="en-US"/>
        </w:rPr>
        <w:t>音乐</w:t>
      </w:r>
      <w:r>
        <w:rPr>
          <w:rFonts w:hint="eastAsia"/>
          <w:sz w:val="32"/>
          <w:szCs w:val="32"/>
        </w:rPr>
        <w:t>领域</w:t>
      </w:r>
      <w:r>
        <w:rPr>
          <w:rFonts w:hint="eastAsia"/>
          <w:sz w:val="32"/>
          <w:szCs w:val="32"/>
          <w:lang w:val="en-US"/>
        </w:rPr>
        <w:t>的招生与培养</w:t>
      </w:r>
      <w:r>
        <w:rPr>
          <w:rFonts w:hint="eastAsia"/>
          <w:sz w:val="32"/>
          <w:szCs w:val="32"/>
        </w:rPr>
        <w:t>工作。</w:t>
      </w:r>
      <w:r>
        <w:rPr>
          <w:rFonts w:hint="eastAsia"/>
          <w:sz w:val="32"/>
          <w:szCs w:val="32"/>
          <w:lang w:val="en-US"/>
        </w:rPr>
        <w:t>冲刺音乐与舞蹈学学术硕士学位点、戏剧与影视学专业硕士学位点的建设。</w:t>
      </w:r>
    </w:p>
    <w:p>
      <w:pPr>
        <w:spacing w:line="520" w:lineRule="exact"/>
        <w:ind w:firstLine="643" w:firstLineChars="200"/>
        <w:jc w:val="both"/>
        <w:outlineLvl w:val="2"/>
        <w:rPr>
          <w:rFonts w:ascii="楷体" w:hAnsi="楷体" w:eastAsia="楷体" w:cstheme="minorBidi"/>
          <w:b/>
          <w:kern w:val="2"/>
          <w:sz w:val="32"/>
          <w:szCs w:val="32"/>
          <w:lang w:val="en-US" w:bidi="ar-SA"/>
        </w:rPr>
      </w:pPr>
      <w:bookmarkStart w:id="20" w:name="_Toc80652886"/>
      <w:r>
        <w:rPr>
          <w:rFonts w:hint="eastAsia" w:ascii="楷体" w:hAnsi="楷体" w:eastAsia="楷体" w:cstheme="minorBidi"/>
          <w:b/>
          <w:kern w:val="2"/>
          <w:sz w:val="32"/>
          <w:szCs w:val="32"/>
          <w:lang w:val="en-US" w:bidi="ar-SA"/>
        </w:rPr>
        <w:t>（二）培养质量提升工程</w:t>
      </w:r>
      <w:bookmarkEnd w:id="20"/>
    </w:p>
    <w:p>
      <w:pPr>
        <w:spacing w:line="520" w:lineRule="exact"/>
        <w:ind w:firstLine="640" w:firstLineChars="200"/>
        <w:jc w:val="both"/>
        <w:rPr>
          <w:sz w:val="32"/>
          <w:szCs w:val="32"/>
        </w:rPr>
      </w:pPr>
      <w:r>
        <w:rPr>
          <w:rFonts w:hint="eastAsia"/>
          <w:sz w:val="32"/>
          <w:szCs w:val="32"/>
        </w:rPr>
        <w:t>夯实“三创</w:t>
      </w:r>
      <w:r>
        <w:rPr>
          <w:rFonts w:hint="eastAsia"/>
          <w:sz w:val="32"/>
          <w:szCs w:val="32"/>
          <w:lang w:val="en-US"/>
        </w:rPr>
        <w:t>牵引</w:t>
      </w:r>
      <w:r>
        <w:rPr>
          <w:rFonts w:hint="eastAsia"/>
          <w:sz w:val="32"/>
          <w:szCs w:val="32"/>
        </w:rPr>
        <w:t>、五位一体”人才培养工程，加强二、三、四课堂与第一课堂协同</w:t>
      </w:r>
      <w:r>
        <w:rPr>
          <w:rFonts w:hint="eastAsia"/>
          <w:sz w:val="32"/>
          <w:szCs w:val="32"/>
          <w:lang w:val="en-US"/>
        </w:rPr>
        <w:t>发展</w:t>
      </w:r>
      <w:r>
        <w:rPr>
          <w:rFonts w:hint="eastAsia"/>
          <w:sz w:val="32"/>
          <w:szCs w:val="32"/>
        </w:rPr>
        <w:t>。改革课程绩效计算与评价体系，强化实践、实训。加强教学研究，争取5项以上省级教学项目。深化“校地共育”应用型人才培养模式改革，完善教学常规和档案管理，实现省级教学成果奖的零突破。加强实验室建设和管理，实现省级实验教学示范中心的突破。</w:t>
      </w:r>
    </w:p>
    <w:p>
      <w:pPr>
        <w:spacing w:line="520" w:lineRule="exact"/>
        <w:ind w:firstLine="643" w:firstLineChars="200"/>
        <w:jc w:val="both"/>
        <w:outlineLvl w:val="2"/>
        <w:rPr>
          <w:rFonts w:ascii="楷体" w:hAnsi="楷体" w:eastAsia="楷体" w:cstheme="minorBidi"/>
          <w:b/>
          <w:kern w:val="2"/>
          <w:sz w:val="32"/>
          <w:szCs w:val="32"/>
          <w:lang w:val="en-US" w:bidi="ar-SA"/>
        </w:rPr>
      </w:pPr>
      <w:bookmarkStart w:id="21" w:name="_Toc80652887"/>
      <w:r>
        <w:rPr>
          <w:rFonts w:hint="eastAsia" w:ascii="楷体" w:hAnsi="楷体" w:eastAsia="楷体" w:cstheme="minorBidi"/>
          <w:b/>
          <w:kern w:val="2"/>
          <w:sz w:val="32"/>
          <w:szCs w:val="32"/>
          <w:lang w:val="en-US" w:bidi="ar-SA"/>
        </w:rPr>
        <w:t>（三）师资团队优化工程</w:t>
      </w:r>
      <w:bookmarkEnd w:id="21"/>
    </w:p>
    <w:p>
      <w:pPr>
        <w:spacing w:line="520" w:lineRule="exact"/>
        <w:ind w:firstLine="640" w:firstLineChars="200"/>
        <w:jc w:val="both"/>
        <w:rPr>
          <w:sz w:val="32"/>
          <w:szCs w:val="32"/>
        </w:rPr>
      </w:pPr>
      <w:r>
        <w:rPr>
          <w:rFonts w:hint="eastAsia"/>
          <w:sz w:val="32"/>
          <w:szCs w:val="32"/>
        </w:rPr>
        <w:t>继续加大</w:t>
      </w:r>
      <w:r>
        <w:rPr>
          <w:rFonts w:hint="eastAsia"/>
          <w:sz w:val="32"/>
          <w:szCs w:val="32"/>
          <w:lang w:val="en-US"/>
        </w:rPr>
        <w:t>人才</w:t>
      </w:r>
      <w:r>
        <w:rPr>
          <w:rFonts w:hint="eastAsia"/>
          <w:sz w:val="32"/>
          <w:szCs w:val="32"/>
        </w:rPr>
        <w:t>引</w:t>
      </w:r>
      <w:r>
        <w:rPr>
          <w:rFonts w:hint="eastAsia"/>
          <w:sz w:val="32"/>
          <w:szCs w:val="32"/>
          <w:lang w:val="en-US"/>
        </w:rPr>
        <w:t>育</w:t>
      </w:r>
      <w:r>
        <w:rPr>
          <w:rFonts w:hint="eastAsia"/>
          <w:sz w:val="32"/>
          <w:szCs w:val="32"/>
        </w:rPr>
        <w:t>力度，注重</w:t>
      </w:r>
      <w:r>
        <w:rPr>
          <w:rFonts w:hint="eastAsia"/>
          <w:sz w:val="32"/>
          <w:szCs w:val="32"/>
          <w:lang w:val="en-US"/>
        </w:rPr>
        <w:t>各级各类人才工程与</w:t>
      </w:r>
      <w:r>
        <w:rPr>
          <w:rFonts w:hint="eastAsia"/>
          <w:sz w:val="32"/>
          <w:szCs w:val="32"/>
        </w:rPr>
        <w:t>国际化</w:t>
      </w:r>
      <w:r>
        <w:rPr>
          <w:rFonts w:hint="eastAsia"/>
          <w:sz w:val="32"/>
          <w:szCs w:val="32"/>
          <w:lang w:val="en-US"/>
        </w:rPr>
        <w:t>综合性</w:t>
      </w:r>
      <w:r>
        <w:rPr>
          <w:rFonts w:hint="eastAsia"/>
          <w:sz w:val="32"/>
          <w:szCs w:val="32"/>
        </w:rPr>
        <w:t>人才的引进，重点</w:t>
      </w:r>
      <w:r>
        <w:rPr>
          <w:rFonts w:hint="eastAsia"/>
          <w:sz w:val="32"/>
          <w:szCs w:val="32"/>
          <w:lang w:val="en-US"/>
        </w:rPr>
        <w:t>全职</w:t>
      </w:r>
      <w:r>
        <w:rPr>
          <w:rFonts w:hint="eastAsia"/>
          <w:sz w:val="32"/>
          <w:szCs w:val="32"/>
        </w:rPr>
        <w:t>引进教授，适当引进博士。</w:t>
      </w:r>
      <w:r>
        <w:rPr>
          <w:rFonts w:hint="eastAsia"/>
          <w:sz w:val="32"/>
          <w:szCs w:val="32"/>
          <w:lang w:val="en-US"/>
        </w:rPr>
        <w:t>加强现有教职工的内培工作，</w:t>
      </w:r>
      <w:r>
        <w:rPr>
          <w:rFonts w:hint="eastAsia"/>
          <w:sz w:val="32"/>
          <w:szCs w:val="32"/>
        </w:rPr>
        <w:t>优化学历、学缘、职称和专业结构，推动形成良好的人才聚集效应。</w:t>
      </w:r>
    </w:p>
    <w:p>
      <w:pPr>
        <w:spacing w:line="520" w:lineRule="exact"/>
        <w:ind w:firstLine="643" w:firstLineChars="200"/>
        <w:jc w:val="both"/>
        <w:outlineLvl w:val="2"/>
        <w:rPr>
          <w:rFonts w:ascii="楷体" w:hAnsi="楷体" w:eastAsia="楷体" w:cstheme="minorBidi"/>
          <w:b/>
          <w:kern w:val="2"/>
          <w:sz w:val="32"/>
          <w:szCs w:val="32"/>
          <w:lang w:val="en-US" w:bidi="ar-SA"/>
        </w:rPr>
      </w:pPr>
      <w:bookmarkStart w:id="22" w:name="_Toc80652888"/>
      <w:r>
        <w:rPr>
          <w:rFonts w:hint="eastAsia" w:ascii="楷体" w:hAnsi="楷体" w:eastAsia="楷体" w:cstheme="minorBidi"/>
          <w:b/>
          <w:kern w:val="2"/>
          <w:sz w:val="32"/>
          <w:szCs w:val="32"/>
          <w:lang w:val="en-US" w:bidi="ar-SA"/>
        </w:rPr>
        <w:t>（四）科学研究创新工程</w:t>
      </w:r>
      <w:bookmarkEnd w:id="22"/>
    </w:p>
    <w:p>
      <w:pPr>
        <w:spacing w:line="520" w:lineRule="exact"/>
        <w:ind w:firstLine="640" w:firstLineChars="200"/>
        <w:jc w:val="both"/>
        <w:rPr>
          <w:sz w:val="32"/>
          <w:szCs w:val="32"/>
        </w:rPr>
      </w:pPr>
      <w:r>
        <w:rPr>
          <w:rFonts w:hint="eastAsia"/>
          <w:sz w:val="32"/>
          <w:szCs w:val="32"/>
        </w:rPr>
        <w:t>完善教师科研业务档案，激励学院教师申报高级别研究项目，邀请校内外专家及国家项目评委持续指导和论证，形成</w:t>
      </w:r>
      <w:r>
        <w:rPr>
          <w:rFonts w:hint="eastAsia"/>
          <w:sz w:val="32"/>
          <w:szCs w:val="32"/>
          <w:lang w:val="en-US"/>
        </w:rPr>
        <w:t>确保</w:t>
      </w:r>
      <w:r>
        <w:rPr>
          <w:rFonts w:hint="eastAsia"/>
          <w:sz w:val="32"/>
          <w:szCs w:val="32"/>
        </w:rPr>
        <w:t>每年能有1-2项省部级项目获批的稳健态势，力争</w:t>
      </w:r>
      <w:r>
        <w:rPr>
          <w:rFonts w:hint="eastAsia"/>
          <w:sz w:val="32"/>
          <w:szCs w:val="32"/>
          <w:lang w:val="en-US"/>
        </w:rPr>
        <w:t>实现每1-2年</w:t>
      </w:r>
      <w:r>
        <w:rPr>
          <w:rFonts w:hint="eastAsia"/>
          <w:sz w:val="32"/>
          <w:szCs w:val="32"/>
        </w:rPr>
        <w:t>获批国家级项目1</w:t>
      </w:r>
      <w:r>
        <w:rPr>
          <w:rFonts w:hint="eastAsia"/>
          <w:sz w:val="32"/>
          <w:szCs w:val="32"/>
          <w:lang w:val="en-US"/>
        </w:rPr>
        <w:t>-2</w:t>
      </w:r>
      <w:r>
        <w:rPr>
          <w:rFonts w:hint="eastAsia"/>
          <w:sz w:val="32"/>
          <w:szCs w:val="32"/>
        </w:rPr>
        <w:t>项</w:t>
      </w:r>
      <w:r>
        <w:rPr>
          <w:rFonts w:hint="eastAsia"/>
          <w:sz w:val="32"/>
          <w:szCs w:val="32"/>
          <w:lang w:val="en-US"/>
        </w:rPr>
        <w:t>和</w:t>
      </w:r>
      <w:r>
        <w:rPr>
          <w:rFonts w:hint="eastAsia"/>
          <w:sz w:val="32"/>
          <w:szCs w:val="32"/>
        </w:rPr>
        <w:t>国家艺术基金项目1-2项。纵向科研经费达100万元以上。实现省部级科研成果奖零的突破，获批市厅级科研成果奖每年1项。培育建设省级人文社科研究基地1个，构建市级科研平台及机构2-3个。每年发表高质量论文10余篇，发表权威期刊 1-2篇、一级期刊 5-10 篇，出版专著2-4部，其中一级及以上的出版社专著2部。获各类各级专业奖项50项，入选全国展演作品1件以上，</w:t>
      </w:r>
      <w:r>
        <w:rPr>
          <w:rFonts w:hint="eastAsia"/>
          <w:sz w:val="32"/>
          <w:szCs w:val="32"/>
          <w:lang w:val="en-US"/>
        </w:rPr>
        <w:t>参加国家级作品交流与学术研讨会2-4次</w:t>
      </w:r>
      <w:r>
        <w:rPr>
          <w:rFonts w:hint="eastAsia"/>
          <w:sz w:val="32"/>
          <w:szCs w:val="32"/>
        </w:rPr>
        <w:t>。</w:t>
      </w:r>
    </w:p>
    <w:p>
      <w:pPr>
        <w:spacing w:line="520" w:lineRule="exact"/>
        <w:ind w:firstLine="643" w:firstLineChars="200"/>
        <w:jc w:val="both"/>
        <w:outlineLvl w:val="2"/>
        <w:rPr>
          <w:rFonts w:ascii="楷体" w:hAnsi="楷体" w:eastAsia="楷体" w:cstheme="minorBidi"/>
          <w:b/>
          <w:kern w:val="2"/>
          <w:sz w:val="32"/>
          <w:szCs w:val="32"/>
          <w:lang w:val="en-US" w:bidi="ar-SA"/>
        </w:rPr>
      </w:pPr>
      <w:bookmarkStart w:id="23" w:name="_Toc80652889"/>
      <w:r>
        <w:rPr>
          <w:rFonts w:hint="eastAsia" w:ascii="楷体" w:hAnsi="楷体" w:eastAsia="楷体" w:cstheme="minorBidi"/>
          <w:b/>
          <w:kern w:val="2"/>
          <w:sz w:val="32"/>
          <w:szCs w:val="32"/>
          <w:lang w:val="en-US" w:bidi="ar-SA"/>
        </w:rPr>
        <w:t>（五）服务地方接轨工程</w:t>
      </w:r>
      <w:bookmarkEnd w:id="23"/>
    </w:p>
    <w:p>
      <w:pPr>
        <w:spacing w:line="520" w:lineRule="exact"/>
        <w:ind w:firstLine="640" w:firstLineChars="200"/>
        <w:jc w:val="both"/>
        <w:rPr>
          <w:sz w:val="32"/>
          <w:szCs w:val="32"/>
        </w:rPr>
      </w:pPr>
      <w:r>
        <w:rPr>
          <w:rFonts w:hint="eastAsia"/>
          <w:sz w:val="32"/>
          <w:szCs w:val="32"/>
        </w:rPr>
        <w:t>加强与市、区、行业企业</w:t>
      </w:r>
      <w:r>
        <w:rPr>
          <w:rFonts w:hint="eastAsia"/>
          <w:sz w:val="32"/>
          <w:szCs w:val="32"/>
          <w:lang w:val="en-US"/>
        </w:rPr>
        <w:t>等各条线的</w:t>
      </w:r>
      <w:r>
        <w:rPr>
          <w:rFonts w:hint="eastAsia"/>
          <w:sz w:val="32"/>
          <w:szCs w:val="32"/>
        </w:rPr>
        <w:t>合作，提升学院</w:t>
      </w:r>
      <w:r>
        <w:rPr>
          <w:rFonts w:hint="eastAsia"/>
          <w:sz w:val="32"/>
          <w:szCs w:val="32"/>
          <w:lang w:val="en-US"/>
        </w:rPr>
        <w:t>的</w:t>
      </w:r>
      <w:r>
        <w:rPr>
          <w:rFonts w:hint="eastAsia"/>
          <w:sz w:val="32"/>
          <w:szCs w:val="32"/>
        </w:rPr>
        <w:t>影响力</w:t>
      </w:r>
      <w:r>
        <w:rPr>
          <w:rFonts w:hint="eastAsia"/>
          <w:sz w:val="32"/>
          <w:szCs w:val="32"/>
          <w:lang w:val="en-US"/>
        </w:rPr>
        <w:t>与品牌力</w:t>
      </w:r>
      <w:r>
        <w:rPr>
          <w:rFonts w:hint="eastAsia"/>
          <w:sz w:val="32"/>
          <w:szCs w:val="32"/>
        </w:rPr>
        <w:t>，做实湖州市“文化强市”建设的高端智库。</w:t>
      </w:r>
    </w:p>
    <w:p>
      <w:pPr>
        <w:spacing w:line="520" w:lineRule="exact"/>
        <w:ind w:firstLine="640" w:firstLineChars="200"/>
        <w:jc w:val="both"/>
        <w:rPr>
          <w:sz w:val="32"/>
          <w:szCs w:val="32"/>
        </w:rPr>
      </w:pPr>
      <w:r>
        <w:rPr>
          <w:rFonts w:hint="eastAsia"/>
          <w:sz w:val="32"/>
          <w:szCs w:val="32"/>
        </w:rPr>
        <w:t>与市相关政府部门、机构和周边中小学建立</w:t>
      </w:r>
      <w:r>
        <w:rPr>
          <w:rFonts w:hint="eastAsia"/>
          <w:sz w:val="32"/>
          <w:szCs w:val="32"/>
          <w:lang w:val="en-US"/>
        </w:rPr>
        <w:t>常态化的</w:t>
      </w:r>
      <w:r>
        <w:rPr>
          <w:rFonts w:hint="eastAsia"/>
          <w:sz w:val="32"/>
          <w:szCs w:val="32"/>
        </w:rPr>
        <w:t>长效联系，新建</w:t>
      </w:r>
      <w:r>
        <w:rPr>
          <w:rFonts w:hint="eastAsia"/>
          <w:sz w:val="32"/>
          <w:szCs w:val="32"/>
          <w:lang w:val="en-US"/>
        </w:rPr>
        <w:t>合作</w:t>
      </w:r>
      <w:r>
        <w:rPr>
          <w:rFonts w:hint="eastAsia"/>
          <w:sz w:val="32"/>
          <w:szCs w:val="32"/>
        </w:rPr>
        <w:t>实教学实践基地，接轨人才培养与社会应用，组建应用型科研团队，促进成果转化，实现地方院校与区域经济“政-产-学-研”的协同发展，聚焦共同富裕、文旅融合、乡村振兴、美育教育和公共艺术等方面的发展，不断推进服务地方工作的展开。力争建构 1个特色化产业学院、2个研究院、3个共建研发基地，打造服务地方高地，凝练2支极具区域艺术特色、重点攻关的服务地方团队。签订横向项目20项，到账经费总额200万元。签约百万</w:t>
      </w:r>
      <w:r>
        <w:rPr>
          <w:rFonts w:hint="eastAsia"/>
          <w:sz w:val="32"/>
          <w:szCs w:val="32"/>
          <w:lang w:val="en-US"/>
        </w:rPr>
        <w:t>级</w:t>
      </w:r>
      <w:r>
        <w:rPr>
          <w:rFonts w:hint="eastAsia"/>
          <w:sz w:val="32"/>
          <w:szCs w:val="32"/>
        </w:rPr>
        <w:t>横向项目1-2项。做大</w:t>
      </w:r>
      <w:r>
        <w:rPr>
          <w:rFonts w:hint="eastAsia"/>
          <w:sz w:val="32"/>
          <w:szCs w:val="32"/>
          <w:lang w:val="en-US"/>
        </w:rPr>
        <w:t>做强针对</w:t>
      </w:r>
      <w:r>
        <w:rPr>
          <w:rFonts w:hint="eastAsia"/>
          <w:sz w:val="32"/>
          <w:szCs w:val="32"/>
        </w:rPr>
        <w:t>美育师资</w:t>
      </w:r>
      <w:r>
        <w:rPr>
          <w:rFonts w:hint="eastAsia"/>
          <w:sz w:val="32"/>
          <w:szCs w:val="32"/>
          <w:lang w:val="en-US"/>
        </w:rPr>
        <w:t>的</w:t>
      </w:r>
      <w:r>
        <w:rPr>
          <w:rFonts w:hint="eastAsia"/>
          <w:sz w:val="32"/>
          <w:szCs w:val="32"/>
        </w:rPr>
        <w:t>培训、“技能+学历”、中小学教师培训、</w:t>
      </w:r>
      <w:r>
        <w:rPr>
          <w:rFonts w:hint="eastAsia"/>
          <w:sz w:val="32"/>
          <w:szCs w:val="32"/>
          <w:lang w:val="en-US"/>
        </w:rPr>
        <w:t>演出经营与剧场管理人才培训</w:t>
      </w:r>
      <w:r>
        <w:rPr>
          <w:rFonts w:hint="eastAsia"/>
          <w:sz w:val="32"/>
          <w:szCs w:val="32"/>
        </w:rPr>
        <w:t>等继续教育项目，将服务的实力转化为盈利的能力。</w:t>
      </w:r>
    </w:p>
    <w:p>
      <w:pPr>
        <w:spacing w:line="520" w:lineRule="exact"/>
        <w:jc w:val="both"/>
        <w:outlineLvl w:val="1"/>
        <w:rPr>
          <w:rFonts w:ascii="黑体" w:hAnsi="黑体" w:eastAsia="黑体" w:cs="黑体"/>
          <w:kern w:val="2"/>
          <w:sz w:val="32"/>
          <w:szCs w:val="32"/>
          <w:lang w:val="en-US" w:bidi="ar-SA"/>
        </w:rPr>
      </w:pPr>
      <w:bookmarkStart w:id="24" w:name="_Toc80652890"/>
    </w:p>
    <w:p>
      <w:pPr>
        <w:spacing w:line="520" w:lineRule="exact"/>
        <w:jc w:val="both"/>
        <w:outlineLvl w:val="1"/>
        <w:rPr>
          <w:rFonts w:ascii="黑体" w:hAnsi="黑体" w:eastAsia="黑体" w:cs="黑体"/>
          <w:kern w:val="2"/>
          <w:sz w:val="32"/>
          <w:szCs w:val="32"/>
          <w:lang w:val="en-US" w:bidi="ar-SA"/>
        </w:rPr>
      </w:pPr>
      <w:r>
        <w:rPr>
          <w:rFonts w:hint="eastAsia" w:ascii="黑体" w:hAnsi="黑体" w:eastAsia="黑体" w:cs="黑体"/>
          <w:kern w:val="2"/>
          <w:sz w:val="32"/>
          <w:szCs w:val="32"/>
          <w:lang w:val="en-US" w:bidi="ar-SA"/>
        </w:rPr>
        <w:t>二、主要工作</w:t>
      </w:r>
      <w:bookmarkEnd w:id="24"/>
    </w:p>
    <w:p>
      <w:pPr>
        <w:spacing w:line="520" w:lineRule="exact"/>
        <w:ind w:firstLine="643" w:firstLineChars="200"/>
        <w:jc w:val="both"/>
        <w:outlineLvl w:val="2"/>
        <w:rPr>
          <w:rFonts w:ascii="楷体" w:hAnsi="楷体" w:eastAsia="楷体" w:cstheme="minorBidi"/>
          <w:b/>
          <w:kern w:val="2"/>
          <w:sz w:val="32"/>
          <w:szCs w:val="32"/>
          <w:lang w:val="en-US" w:bidi="ar-SA"/>
        </w:rPr>
      </w:pPr>
      <w:bookmarkStart w:id="25" w:name="_Toc80652891"/>
      <w:r>
        <w:rPr>
          <w:rFonts w:hint="eastAsia" w:ascii="楷体" w:hAnsi="楷体" w:eastAsia="楷体" w:cstheme="minorBidi"/>
          <w:b/>
          <w:kern w:val="2"/>
          <w:sz w:val="32"/>
          <w:szCs w:val="32"/>
          <w:lang w:val="en-US" w:bidi="ar-SA"/>
        </w:rPr>
        <w:t>（一）人才引育有作为，团队结构再优化</w:t>
      </w:r>
      <w:bookmarkEnd w:id="25"/>
    </w:p>
    <w:p>
      <w:pPr>
        <w:spacing w:line="520" w:lineRule="exact"/>
        <w:ind w:firstLine="643" w:firstLineChars="200"/>
        <w:jc w:val="both"/>
        <w:outlineLvl w:val="3"/>
        <w:rPr>
          <w:sz w:val="32"/>
          <w:szCs w:val="32"/>
        </w:rPr>
      </w:pPr>
      <w:r>
        <w:rPr>
          <w:rFonts w:hint="eastAsia" w:ascii="仿宋_GB2312" w:hAnsi="楷体" w:eastAsia="仿宋_GB2312" w:cstheme="minorBidi"/>
          <w:b/>
          <w:kern w:val="2"/>
          <w:sz w:val="32"/>
          <w:szCs w:val="32"/>
          <w:lang w:val="en-US" w:bidi="ar-SA"/>
        </w:rPr>
        <w:t>1.人才“外引”专注专业与德才兼备。</w:t>
      </w:r>
      <w:r>
        <w:rPr>
          <w:rFonts w:hint="eastAsia"/>
          <w:sz w:val="32"/>
          <w:szCs w:val="32"/>
        </w:rPr>
        <w:t>围绕学科建设的人才需求，大力引进既从事艺术实践又有研究基础的高层次人才。计划引进</w:t>
      </w:r>
      <w:r>
        <w:rPr>
          <w:rFonts w:hint="eastAsia"/>
          <w:sz w:val="32"/>
          <w:szCs w:val="32"/>
          <w:lang w:val="en-US"/>
        </w:rPr>
        <w:t>已获各级各类人才工程称号、</w:t>
      </w:r>
      <w:r>
        <w:rPr>
          <w:rFonts w:hint="eastAsia"/>
          <w:sz w:val="32"/>
          <w:szCs w:val="32"/>
        </w:rPr>
        <w:t>副教授及以上职称</w:t>
      </w:r>
      <w:r>
        <w:rPr>
          <w:rFonts w:hint="eastAsia"/>
          <w:sz w:val="32"/>
          <w:szCs w:val="32"/>
          <w:lang w:val="en-US"/>
        </w:rPr>
        <w:t>并具有博士学位的教师2-4</w:t>
      </w:r>
      <w:r>
        <w:rPr>
          <w:rFonts w:hint="eastAsia"/>
          <w:sz w:val="32"/>
          <w:szCs w:val="32"/>
        </w:rPr>
        <w:t>人，</w:t>
      </w:r>
      <w:r>
        <w:rPr>
          <w:rFonts w:hint="eastAsia"/>
          <w:sz w:val="32"/>
          <w:szCs w:val="32"/>
          <w:lang w:val="en-US"/>
        </w:rPr>
        <w:t>引进具有留学经历并第一学历为音乐领域高水平院校的青年博士人才3-6人</w:t>
      </w:r>
      <w:r>
        <w:rPr>
          <w:rFonts w:hint="eastAsia"/>
          <w:sz w:val="32"/>
          <w:szCs w:val="32"/>
        </w:rPr>
        <w:t>；计划专任教师博士比超过</w:t>
      </w:r>
      <w:r>
        <w:rPr>
          <w:rFonts w:hint="eastAsia"/>
          <w:sz w:val="32"/>
          <w:szCs w:val="32"/>
          <w:lang w:val="en-US"/>
        </w:rPr>
        <w:t>60</w:t>
      </w:r>
      <w:r>
        <w:rPr>
          <w:rFonts w:hint="eastAsia"/>
          <w:sz w:val="32"/>
          <w:szCs w:val="32"/>
        </w:rPr>
        <w:t>%，通过引进激活提升存量师资队伍水平，力求达到音乐学院成立、音乐领域艺术硕士培养对师资的基本要求。</w:t>
      </w:r>
      <w:r>
        <w:rPr>
          <w:rFonts w:hint="eastAsia"/>
          <w:sz w:val="32"/>
          <w:szCs w:val="32"/>
          <w:lang w:val="en-US"/>
        </w:rPr>
        <w:t>人才“外引”</w:t>
      </w:r>
      <w:r>
        <w:rPr>
          <w:rFonts w:hint="eastAsia"/>
          <w:sz w:val="32"/>
          <w:szCs w:val="32"/>
        </w:rPr>
        <w:t>强化专业意识、第一学历意识和以德为先、德才兼备意识。</w:t>
      </w:r>
    </w:p>
    <w:p>
      <w:pPr>
        <w:spacing w:line="520" w:lineRule="exact"/>
        <w:ind w:firstLine="643" w:firstLineChars="200"/>
        <w:jc w:val="both"/>
        <w:outlineLvl w:val="3"/>
        <w:rPr>
          <w:sz w:val="32"/>
          <w:szCs w:val="32"/>
        </w:rPr>
      </w:pPr>
      <w:r>
        <w:rPr>
          <w:rFonts w:hint="eastAsia" w:ascii="仿宋_GB2312" w:hAnsi="楷体" w:eastAsia="仿宋_GB2312" w:cstheme="minorBidi"/>
          <w:b/>
          <w:kern w:val="2"/>
          <w:sz w:val="32"/>
          <w:szCs w:val="32"/>
          <w:lang w:val="en-US" w:bidi="ar-SA"/>
        </w:rPr>
        <w:t>2.人才“内培”聚焦职称与学历并举。</w:t>
      </w:r>
      <w:r>
        <w:rPr>
          <w:rFonts w:hint="eastAsia"/>
          <w:sz w:val="32"/>
          <w:szCs w:val="32"/>
        </w:rPr>
        <w:t>关注中青年教师的成长，加强新引进教师任期考核，形成预警与退出机制。为教师职称晋升搭建平台，逐步优化各学科团队职称结构。鼓励青年教师学历进修和参与境外高级访问学者进修，推动考博工作，继续推动教师在不影响正常教学工作的情况下在职赴境外攻读博士学位，扩大报考队伍和在读人数，督促在读博士按期完成学业，计划</w:t>
      </w:r>
      <w:r>
        <w:rPr>
          <w:rFonts w:hint="eastAsia"/>
          <w:sz w:val="32"/>
          <w:szCs w:val="32"/>
          <w:lang w:val="en-US"/>
        </w:rPr>
        <w:t>分批</w:t>
      </w:r>
      <w:r>
        <w:rPr>
          <w:rFonts w:hint="eastAsia"/>
          <w:sz w:val="32"/>
          <w:szCs w:val="32"/>
        </w:rPr>
        <w:t>安排教师国内外</w:t>
      </w:r>
      <w:r>
        <w:rPr>
          <w:rFonts w:hint="eastAsia"/>
          <w:sz w:val="32"/>
          <w:szCs w:val="32"/>
          <w:lang w:val="en-US"/>
        </w:rPr>
        <w:t>访学</w:t>
      </w:r>
      <w:r>
        <w:rPr>
          <w:rFonts w:hint="eastAsia"/>
          <w:sz w:val="32"/>
          <w:szCs w:val="32"/>
        </w:rPr>
        <w:t>。支持教师到</w:t>
      </w:r>
      <w:r>
        <w:rPr>
          <w:rFonts w:hint="eastAsia"/>
          <w:sz w:val="32"/>
          <w:szCs w:val="32"/>
          <w:lang w:val="en-US"/>
        </w:rPr>
        <w:t>中小学、文旅产业单位、演出公司与演出剧院、优秀文化</w:t>
      </w:r>
      <w:r>
        <w:rPr>
          <w:rFonts w:hint="eastAsia"/>
          <w:sz w:val="32"/>
          <w:szCs w:val="32"/>
        </w:rPr>
        <w:t>企业技术蹲点与挂职锻炼，鼓励考评本行业技术职称、</w:t>
      </w:r>
      <w:r>
        <w:rPr>
          <w:rFonts w:hint="eastAsia"/>
          <w:sz w:val="32"/>
          <w:szCs w:val="32"/>
          <w:lang w:val="en-US"/>
        </w:rPr>
        <w:t>加入行业协会、</w:t>
      </w:r>
      <w:r>
        <w:rPr>
          <w:rFonts w:hint="eastAsia"/>
          <w:sz w:val="32"/>
          <w:szCs w:val="32"/>
        </w:rPr>
        <w:t xml:space="preserve">开展专业实践、联合其他高校和企业开展应用技术研究，计划新增“双师双能型”教师 </w:t>
      </w:r>
      <w:r>
        <w:rPr>
          <w:rFonts w:hint="eastAsia"/>
          <w:sz w:val="32"/>
          <w:szCs w:val="32"/>
          <w:lang w:val="en-US"/>
        </w:rPr>
        <w:t>8-10</w:t>
      </w:r>
      <w:r>
        <w:rPr>
          <w:rFonts w:hint="eastAsia"/>
          <w:sz w:val="32"/>
          <w:szCs w:val="32"/>
        </w:rPr>
        <w:t xml:space="preserve"> 人。</w:t>
      </w:r>
    </w:p>
    <w:p>
      <w:pPr>
        <w:spacing w:line="520" w:lineRule="exact"/>
        <w:ind w:firstLine="643" w:firstLineChars="200"/>
        <w:jc w:val="both"/>
        <w:outlineLvl w:val="2"/>
        <w:rPr>
          <w:b/>
          <w:bCs/>
          <w:sz w:val="32"/>
          <w:szCs w:val="32"/>
        </w:rPr>
      </w:pPr>
      <w:bookmarkStart w:id="26" w:name="_Toc80652892"/>
      <w:r>
        <w:rPr>
          <w:rFonts w:hint="eastAsia" w:ascii="楷体" w:hAnsi="楷体" w:eastAsia="楷体" w:cstheme="minorBidi"/>
          <w:b/>
          <w:kern w:val="2"/>
          <w:sz w:val="32"/>
          <w:szCs w:val="32"/>
          <w:lang w:val="en-US" w:bidi="ar-SA"/>
        </w:rPr>
        <w:t>（二）学科建设渐行稳，硕士领域全覆盖</w:t>
      </w:r>
      <w:bookmarkEnd w:id="26"/>
    </w:p>
    <w:p>
      <w:pPr>
        <w:spacing w:line="520" w:lineRule="exact"/>
        <w:ind w:firstLine="640" w:firstLineChars="200"/>
        <w:jc w:val="both"/>
        <w:rPr>
          <w:sz w:val="32"/>
          <w:szCs w:val="32"/>
        </w:rPr>
      </w:pPr>
      <w:r>
        <w:rPr>
          <w:rFonts w:hint="eastAsia"/>
          <w:sz w:val="32"/>
          <w:szCs w:val="32"/>
        </w:rPr>
        <w:t>稳妥做好艺术硕士</w:t>
      </w:r>
      <w:r>
        <w:rPr>
          <w:rFonts w:hint="eastAsia"/>
          <w:sz w:val="32"/>
          <w:szCs w:val="32"/>
          <w:lang w:val="en-US"/>
        </w:rPr>
        <w:t>音乐领域</w:t>
      </w:r>
      <w:r>
        <w:rPr>
          <w:rFonts w:hint="eastAsia"/>
          <w:sz w:val="32"/>
          <w:szCs w:val="32"/>
        </w:rPr>
        <w:t>招生拓展工作。以首次申报的</w:t>
      </w:r>
      <w:r>
        <w:rPr>
          <w:rFonts w:hint="eastAsia"/>
          <w:sz w:val="32"/>
          <w:szCs w:val="32"/>
          <w:lang w:val="en-US"/>
        </w:rPr>
        <w:t>高</w:t>
      </w:r>
      <w:r>
        <w:rPr>
          <w:rFonts w:hint="eastAsia"/>
          <w:sz w:val="32"/>
          <w:szCs w:val="32"/>
        </w:rPr>
        <w:t>标准，对标对表和</w:t>
      </w:r>
      <w:r>
        <w:rPr>
          <w:rFonts w:hint="eastAsia"/>
          <w:sz w:val="32"/>
          <w:szCs w:val="32"/>
          <w:lang w:val="en-US"/>
        </w:rPr>
        <w:t>聚焦</w:t>
      </w:r>
      <w:r>
        <w:rPr>
          <w:rFonts w:hint="eastAsia"/>
          <w:sz w:val="32"/>
          <w:szCs w:val="32"/>
        </w:rPr>
        <w:t>动态发展趋势，填写领域增列申报表,推动增列工作，实现音乐领域增列成功，确保招生后3年内能顺利通过合格评估验收。</w:t>
      </w:r>
    </w:p>
    <w:p>
      <w:pPr>
        <w:spacing w:line="520" w:lineRule="exact"/>
        <w:ind w:firstLine="643" w:firstLineChars="200"/>
        <w:jc w:val="both"/>
        <w:outlineLvl w:val="2"/>
        <w:rPr>
          <w:rFonts w:ascii="楷体" w:hAnsi="楷体" w:eastAsia="楷体" w:cstheme="minorBidi"/>
          <w:b/>
          <w:kern w:val="2"/>
          <w:sz w:val="32"/>
          <w:szCs w:val="32"/>
          <w:lang w:val="en-US" w:bidi="ar-SA"/>
        </w:rPr>
      </w:pPr>
      <w:bookmarkStart w:id="27" w:name="_Toc80652893"/>
      <w:r>
        <w:rPr>
          <w:rFonts w:hint="eastAsia" w:ascii="楷体" w:hAnsi="楷体" w:eastAsia="楷体" w:cstheme="minorBidi"/>
          <w:b/>
          <w:kern w:val="2"/>
          <w:sz w:val="32"/>
          <w:szCs w:val="32"/>
          <w:lang w:val="en-US" w:bidi="ar-SA"/>
        </w:rPr>
        <w:t>（三）科学研究有创新，研究成果创新高</w:t>
      </w:r>
      <w:bookmarkEnd w:id="27"/>
    </w:p>
    <w:p>
      <w:pPr>
        <w:spacing w:line="520" w:lineRule="exact"/>
        <w:ind w:firstLine="643" w:firstLineChars="200"/>
        <w:jc w:val="both"/>
        <w:outlineLvl w:val="3"/>
        <w:rPr>
          <w:sz w:val="32"/>
          <w:szCs w:val="32"/>
        </w:rPr>
      </w:pPr>
      <w:r>
        <w:rPr>
          <w:rFonts w:hint="eastAsia" w:ascii="仿宋_GB2312" w:hAnsi="楷体" w:eastAsia="仿宋_GB2312" w:cstheme="minorBidi"/>
          <w:b/>
          <w:kern w:val="2"/>
          <w:sz w:val="32"/>
          <w:szCs w:val="32"/>
          <w:lang w:val="en-US" w:bidi="ar-SA"/>
        </w:rPr>
        <w:t>1.完善科研平台体系。</w:t>
      </w:r>
      <w:r>
        <w:rPr>
          <w:rFonts w:hint="eastAsia"/>
          <w:sz w:val="32"/>
          <w:szCs w:val="32"/>
        </w:rPr>
        <w:t>营造浓厚学术氛围，凝练特色研究方向和研究团队。在校级人文社科重点研究基地基础上，与市委宣传部、文广旅局、市教育局、市公安局、</w:t>
      </w:r>
      <w:r>
        <w:rPr>
          <w:rFonts w:hint="eastAsia"/>
          <w:sz w:val="32"/>
          <w:szCs w:val="32"/>
          <w:lang w:val="en-US"/>
        </w:rPr>
        <w:t>市退役军人事务局、市招商局、市农业农村局等</w:t>
      </w:r>
      <w:r>
        <w:rPr>
          <w:rFonts w:hint="eastAsia"/>
          <w:sz w:val="32"/>
          <w:szCs w:val="32"/>
        </w:rPr>
        <w:t>共建</w:t>
      </w:r>
      <w:r>
        <w:rPr>
          <w:rFonts w:hint="eastAsia"/>
          <w:sz w:val="32"/>
          <w:szCs w:val="32"/>
          <w:lang w:val="en-US"/>
        </w:rPr>
        <w:t>相关研究中心。创建</w:t>
      </w:r>
      <w:r>
        <w:rPr>
          <w:rFonts w:hint="eastAsia"/>
          <w:sz w:val="32"/>
          <w:szCs w:val="32"/>
        </w:rPr>
        <w:t>“都市音乐</w:t>
      </w:r>
      <w:r>
        <w:rPr>
          <w:rFonts w:hint="eastAsia"/>
          <w:sz w:val="32"/>
          <w:szCs w:val="32"/>
          <w:lang w:val="en-US"/>
        </w:rPr>
        <w:t>创演研</w:t>
      </w:r>
      <w:r>
        <w:rPr>
          <w:rFonts w:hint="eastAsia"/>
          <w:sz w:val="32"/>
          <w:szCs w:val="32"/>
        </w:rPr>
        <w:t>中心”，借助联合政府、企业和知名高校</w:t>
      </w:r>
      <w:r>
        <w:rPr>
          <w:rFonts w:hint="eastAsia"/>
          <w:sz w:val="32"/>
          <w:szCs w:val="32"/>
          <w:lang w:val="en-US"/>
        </w:rPr>
        <w:t>按需按批</w:t>
      </w:r>
      <w:r>
        <w:rPr>
          <w:rFonts w:hint="eastAsia"/>
          <w:sz w:val="32"/>
          <w:szCs w:val="32"/>
        </w:rPr>
        <w:t>成立“美育教育研究</w:t>
      </w:r>
      <w:r>
        <w:rPr>
          <w:rFonts w:hint="eastAsia"/>
          <w:sz w:val="32"/>
          <w:szCs w:val="32"/>
          <w:lang w:val="en-US"/>
        </w:rPr>
        <w:t>中心</w:t>
      </w:r>
      <w:r>
        <w:rPr>
          <w:rFonts w:hint="eastAsia"/>
          <w:sz w:val="32"/>
          <w:szCs w:val="32"/>
        </w:rPr>
        <w:t>”、“</w:t>
      </w:r>
      <w:r>
        <w:rPr>
          <w:rFonts w:hint="eastAsia"/>
          <w:sz w:val="32"/>
          <w:szCs w:val="32"/>
          <w:lang w:val="en-US"/>
        </w:rPr>
        <w:t>蚕桑丝绸文化音乐研究中心”、</w:t>
      </w:r>
      <w:r>
        <w:rPr>
          <w:rFonts w:hint="eastAsia"/>
          <w:sz w:val="32"/>
          <w:szCs w:val="32"/>
        </w:rPr>
        <w:t>“中国原创音乐剧研究</w:t>
      </w:r>
      <w:r>
        <w:rPr>
          <w:rFonts w:hint="eastAsia"/>
          <w:sz w:val="32"/>
          <w:szCs w:val="32"/>
          <w:lang w:val="en-US"/>
        </w:rPr>
        <w:t>中心</w:t>
      </w:r>
      <w:r>
        <w:rPr>
          <w:rFonts w:hint="eastAsia"/>
          <w:sz w:val="32"/>
          <w:szCs w:val="32"/>
        </w:rPr>
        <w:t>”、“</w:t>
      </w:r>
      <w:r>
        <w:rPr>
          <w:rFonts w:hint="eastAsia"/>
          <w:sz w:val="32"/>
          <w:szCs w:val="32"/>
          <w:lang w:val="en-US"/>
        </w:rPr>
        <w:t>演出经营与剧场管理研究中心</w:t>
      </w:r>
      <w:r>
        <w:rPr>
          <w:rFonts w:hint="eastAsia"/>
          <w:sz w:val="32"/>
          <w:szCs w:val="32"/>
        </w:rPr>
        <w:t>”</w:t>
      </w:r>
      <w:r>
        <w:rPr>
          <w:rFonts w:hint="eastAsia"/>
          <w:sz w:val="32"/>
          <w:szCs w:val="32"/>
          <w:lang w:val="en-US"/>
        </w:rPr>
        <w:t>等</w:t>
      </w:r>
      <w:r>
        <w:rPr>
          <w:rFonts w:hint="eastAsia"/>
          <w:sz w:val="32"/>
          <w:szCs w:val="32"/>
        </w:rPr>
        <w:t>。继续与北京大学、</w:t>
      </w:r>
      <w:r>
        <w:rPr>
          <w:rFonts w:hint="eastAsia"/>
          <w:sz w:val="32"/>
          <w:szCs w:val="32"/>
          <w:lang w:val="en-US"/>
        </w:rPr>
        <w:t>浙江大学、中央音乐学院、中央戏剧学院、</w:t>
      </w:r>
      <w:r>
        <w:rPr>
          <w:rFonts w:hint="eastAsia"/>
          <w:sz w:val="32"/>
          <w:szCs w:val="32"/>
        </w:rPr>
        <w:t>上海音乐学院</w:t>
      </w:r>
      <w:r>
        <w:rPr>
          <w:rFonts w:hint="eastAsia"/>
          <w:sz w:val="32"/>
          <w:szCs w:val="32"/>
          <w:lang w:val="en-US"/>
        </w:rPr>
        <w:t>以及纽约电影学院、乌克兰柴可夫斯基音乐学院、维也纳音乐与艺术表演大学、英国苏格兰皇家音乐学院、韩国中央大学</w:t>
      </w:r>
      <w:r>
        <w:rPr>
          <w:rFonts w:hint="eastAsia"/>
          <w:sz w:val="32"/>
          <w:szCs w:val="32"/>
        </w:rPr>
        <w:t>等加强</w:t>
      </w:r>
      <w:r>
        <w:rPr>
          <w:rFonts w:hint="eastAsia"/>
          <w:sz w:val="32"/>
          <w:szCs w:val="32"/>
          <w:lang w:val="en-US"/>
        </w:rPr>
        <w:t>各领域</w:t>
      </w:r>
      <w:r>
        <w:rPr>
          <w:rFonts w:hint="eastAsia"/>
          <w:sz w:val="32"/>
          <w:szCs w:val="32"/>
        </w:rPr>
        <w:t>学术交流，邀请</w:t>
      </w:r>
      <w:r>
        <w:rPr>
          <w:rFonts w:hint="eastAsia"/>
          <w:sz w:val="32"/>
          <w:szCs w:val="32"/>
          <w:lang w:val="en-US"/>
        </w:rPr>
        <w:t>各类</w:t>
      </w:r>
      <w:r>
        <w:rPr>
          <w:rFonts w:hint="eastAsia"/>
          <w:sz w:val="32"/>
          <w:szCs w:val="32"/>
        </w:rPr>
        <w:t>专家</w:t>
      </w:r>
      <w:r>
        <w:rPr>
          <w:rFonts w:hint="eastAsia"/>
          <w:sz w:val="32"/>
          <w:szCs w:val="32"/>
          <w:lang w:val="en-US"/>
        </w:rPr>
        <w:t>进行学术讲座</w:t>
      </w:r>
      <w:r>
        <w:rPr>
          <w:rFonts w:hint="eastAsia"/>
          <w:sz w:val="32"/>
          <w:szCs w:val="32"/>
        </w:rPr>
        <w:t>、</w:t>
      </w:r>
      <w:r>
        <w:rPr>
          <w:rFonts w:hint="eastAsia"/>
          <w:sz w:val="32"/>
          <w:szCs w:val="32"/>
          <w:lang w:val="en-US"/>
        </w:rPr>
        <w:t>举办大师课、互派师生访学。</w:t>
      </w:r>
      <w:r>
        <w:rPr>
          <w:rFonts w:hint="eastAsia"/>
          <w:sz w:val="32"/>
          <w:szCs w:val="32"/>
        </w:rPr>
        <w:t>鼓励教师参加学术会议扩大学术交流，为教师和学生构建学术圈创造</w:t>
      </w:r>
      <w:r>
        <w:rPr>
          <w:rFonts w:hint="eastAsia"/>
          <w:sz w:val="32"/>
          <w:szCs w:val="32"/>
          <w:lang w:val="en-US"/>
        </w:rPr>
        <w:t>必要</w:t>
      </w:r>
      <w:r>
        <w:rPr>
          <w:rFonts w:hint="eastAsia"/>
          <w:sz w:val="32"/>
          <w:szCs w:val="32"/>
        </w:rPr>
        <w:t>条件。</w:t>
      </w:r>
    </w:p>
    <w:p>
      <w:pPr>
        <w:spacing w:line="520" w:lineRule="exact"/>
        <w:ind w:firstLine="643" w:firstLineChars="200"/>
        <w:jc w:val="both"/>
        <w:outlineLvl w:val="3"/>
        <w:rPr>
          <w:sz w:val="32"/>
          <w:szCs w:val="32"/>
        </w:rPr>
      </w:pPr>
      <w:r>
        <w:rPr>
          <w:rFonts w:hint="eastAsia" w:ascii="仿宋_GB2312" w:hAnsi="楷体" w:eastAsia="仿宋_GB2312" w:cstheme="minorBidi"/>
          <w:b/>
          <w:kern w:val="2"/>
          <w:sz w:val="32"/>
          <w:szCs w:val="32"/>
          <w:lang w:val="en-US" w:bidi="ar-SA"/>
        </w:rPr>
        <w:t>2.压实科研任务到人。</w:t>
      </w:r>
      <w:r>
        <w:rPr>
          <w:rFonts w:hint="eastAsia"/>
          <w:sz w:val="32"/>
          <w:szCs w:val="32"/>
        </w:rPr>
        <w:t>以执行“第三轮岗位考核”和“第四轮岗位聘任”为契机，根据学院事业发展要求，将科研任务分解至系部和个人，并与年度考核、岗位考核聘任、学院职称前置与推荐排序挂钩。充分把握当前教师科研热情、项目申报率和成功率提升的趋势，继续实施“校-市-省-国”的全员动员、分层申报战略，</w:t>
      </w:r>
      <w:r>
        <w:rPr>
          <w:rFonts w:hint="eastAsia"/>
          <w:sz w:val="32"/>
          <w:szCs w:val="32"/>
          <w:lang w:val="en-US"/>
        </w:rPr>
        <w:t>争</w:t>
      </w:r>
      <w:r>
        <w:rPr>
          <w:rFonts w:hint="eastAsia"/>
          <w:sz w:val="32"/>
          <w:szCs w:val="32"/>
        </w:rPr>
        <w:t>取每位专任教师手上至少有在研项目2项以上。以骨干教师、新引进人才为核心组建学科研究团队；围绕</w:t>
      </w:r>
      <w:r>
        <w:rPr>
          <w:rFonts w:hint="eastAsia"/>
          <w:sz w:val="32"/>
          <w:szCs w:val="32"/>
          <w:lang w:val="en-US"/>
        </w:rPr>
        <w:t>音乐</w:t>
      </w:r>
      <w:r>
        <w:rPr>
          <w:rFonts w:hint="eastAsia"/>
          <w:sz w:val="32"/>
          <w:szCs w:val="32"/>
        </w:rPr>
        <w:t>学学科特质，举办教师音乐会，鼓励专业创作、演出，力争取得标志性、特色性指标，提升艺术创作和表演的水平，营造浓郁的专业氛围。</w:t>
      </w:r>
    </w:p>
    <w:p>
      <w:pPr>
        <w:spacing w:line="520" w:lineRule="exact"/>
        <w:ind w:firstLine="643" w:firstLineChars="200"/>
        <w:jc w:val="both"/>
        <w:outlineLvl w:val="3"/>
        <w:rPr>
          <w:sz w:val="32"/>
          <w:szCs w:val="32"/>
        </w:rPr>
      </w:pPr>
      <w:r>
        <w:rPr>
          <w:rFonts w:hint="eastAsia" w:ascii="仿宋_GB2312" w:hAnsi="楷体" w:eastAsia="仿宋_GB2312" w:cstheme="minorBidi"/>
          <w:b/>
          <w:kern w:val="2"/>
          <w:sz w:val="32"/>
          <w:szCs w:val="32"/>
          <w:lang w:val="en-US" w:bidi="ar-SA"/>
        </w:rPr>
        <w:t>3.培育科研成果奖项。</w:t>
      </w:r>
      <w:r>
        <w:rPr>
          <w:rFonts w:hint="eastAsia"/>
          <w:sz w:val="32"/>
          <w:szCs w:val="32"/>
        </w:rPr>
        <w:t>关注教师核心论文与专著出版情况，提前</w:t>
      </w:r>
      <w:r>
        <w:rPr>
          <w:rFonts w:hint="eastAsia"/>
          <w:sz w:val="32"/>
          <w:szCs w:val="32"/>
          <w:lang w:val="en-US"/>
        </w:rPr>
        <w:t>筛选</w:t>
      </w:r>
      <w:r>
        <w:rPr>
          <w:rFonts w:hint="eastAsia"/>
          <w:sz w:val="32"/>
          <w:szCs w:val="32"/>
        </w:rPr>
        <w:t>有科研成果奖培养前景的</w:t>
      </w:r>
      <w:r>
        <w:rPr>
          <w:rFonts w:hint="eastAsia"/>
          <w:sz w:val="32"/>
          <w:szCs w:val="32"/>
          <w:lang w:val="en-US"/>
        </w:rPr>
        <w:t>项目</w:t>
      </w:r>
      <w:r>
        <w:rPr>
          <w:rFonts w:hint="eastAsia"/>
          <w:sz w:val="32"/>
          <w:szCs w:val="32"/>
        </w:rPr>
        <w:t>。做好引导与服务工作。在书评、引用、成果介绍等方面提前</w:t>
      </w:r>
      <w:r>
        <w:rPr>
          <w:rFonts w:hint="eastAsia"/>
          <w:sz w:val="32"/>
          <w:szCs w:val="32"/>
          <w:lang w:val="en-US"/>
        </w:rPr>
        <w:t>筹备</w:t>
      </w:r>
      <w:r>
        <w:rPr>
          <w:rFonts w:hint="eastAsia"/>
          <w:sz w:val="32"/>
          <w:szCs w:val="32"/>
        </w:rPr>
        <w:t>。邀请专家参与成果分享推介会，支持教师在各类学术会议上发表与演讲已取得的成果，扩大成果的学术影响力。</w:t>
      </w:r>
    </w:p>
    <w:p>
      <w:pPr>
        <w:spacing w:line="520" w:lineRule="exact"/>
        <w:ind w:firstLine="643" w:firstLineChars="200"/>
        <w:jc w:val="both"/>
        <w:outlineLvl w:val="3"/>
        <w:rPr>
          <w:sz w:val="32"/>
          <w:szCs w:val="32"/>
          <w:lang w:val="en-US"/>
        </w:rPr>
      </w:pPr>
      <w:r>
        <w:rPr>
          <w:rFonts w:hint="eastAsia" w:ascii="仿宋_GB2312" w:hAnsi="楷体" w:eastAsia="仿宋_GB2312" w:cstheme="minorBidi"/>
          <w:b/>
          <w:kern w:val="2"/>
          <w:sz w:val="32"/>
          <w:szCs w:val="32"/>
          <w:lang w:val="en-US" w:bidi="ar-SA"/>
        </w:rPr>
        <w:t>4.推进服务地方工作。</w:t>
      </w:r>
      <w:r>
        <w:rPr>
          <w:rFonts w:hint="eastAsia"/>
          <w:sz w:val="32"/>
          <w:szCs w:val="32"/>
        </w:rPr>
        <w:t>构建“</w:t>
      </w:r>
      <w:r>
        <w:rPr>
          <w:rFonts w:hint="eastAsia"/>
          <w:sz w:val="32"/>
          <w:szCs w:val="32"/>
          <w:lang w:val="en-US"/>
        </w:rPr>
        <w:t>音乐</w:t>
      </w:r>
      <w:r>
        <w:rPr>
          <w:rFonts w:hint="eastAsia"/>
          <w:sz w:val="32"/>
          <w:szCs w:val="32"/>
        </w:rPr>
        <w:t>学院-产业学院与研究院-共建研发中心-研究教学实践基地”</w:t>
      </w:r>
      <w:r>
        <w:rPr>
          <w:rFonts w:hint="eastAsia"/>
          <w:sz w:val="32"/>
          <w:szCs w:val="32"/>
          <w:lang w:val="en-US"/>
        </w:rPr>
        <w:t>的</w:t>
      </w:r>
      <w:r>
        <w:rPr>
          <w:rFonts w:hint="eastAsia"/>
          <w:sz w:val="32"/>
          <w:szCs w:val="32"/>
        </w:rPr>
        <w:t>高效服务地方体系。围绕“音乐</w:t>
      </w:r>
      <w:r>
        <w:rPr>
          <w:rFonts w:hint="eastAsia"/>
          <w:sz w:val="32"/>
          <w:szCs w:val="32"/>
          <w:lang w:val="en-US"/>
        </w:rPr>
        <w:t>师范</w:t>
      </w:r>
      <w:r>
        <w:rPr>
          <w:rFonts w:hint="eastAsia"/>
          <w:sz w:val="32"/>
          <w:szCs w:val="32"/>
        </w:rPr>
        <w:t>教育、美育教育、艺术管理、舞台戏剧</w:t>
      </w:r>
      <w:r>
        <w:rPr>
          <w:rFonts w:hint="eastAsia"/>
          <w:sz w:val="32"/>
          <w:szCs w:val="32"/>
          <w:lang w:val="en-US"/>
        </w:rPr>
        <w:t>创演</w:t>
      </w:r>
      <w:r>
        <w:rPr>
          <w:rFonts w:hint="eastAsia"/>
          <w:sz w:val="32"/>
          <w:szCs w:val="32"/>
        </w:rPr>
        <w:t>、乐器制作与维修”</w:t>
      </w:r>
      <w:r>
        <w:rPr>
          <w:rFonts w:hint="eastAsia"/>
          <w:sz w:val="32"/>
          <w:szCs w:val="32"/>
          <w:lang w:val="en-US"/>
        </w:rPr>
        <w:t>重点</w:t>
      </w:r>
      <w:r>
        <w:rPr>
          <w:rFonts w:hint="eastAsia"/>
          <w:sz w:val="32"/>
          <w:szCs w:val="32"/>
        </w:rPr>
        <w:t>领域，深度介入</w:t>
      </w:r>
      <w:r>
        <w:rPr>
          <w:rFonts w:hint="eastAsia"/>
          <w:sz w:val="32"/>
          <w:szCs w:val="32"/>
          <w:lang w:val="en-US"/>
        </w:rPr>
        <w:t>各级音乐家协会、舞蹈家协会、</w:t>
      </w:r>
      <w:r>
        <w:rPr>
          <w:rFonts w:hint="eastAsia"/>
          <w:sz w:val="32"/>
          <w:szCs w:val="32"/>
        </w:rPr>
        <w:t>戏剧家协会</w:t>
      </w:r>
      <w:r>
        <w:rPr>
          <w:rFonts w:hint="eastAsia"/>
          <w:sz w:val="32"/>
          <w:szCs w:val="32"/>
          <w:lang w:val="en-US"/>
        </w:rPr>
        <w:t>和</w:t>
      </w:r>
      <w:r>
        <w:rPr>
          <w:rFonts w:hint="eastAsia"/>
          <w:sz w:val="32"/>
          <w:szCs w:val="32"/>
        </w:rPr>
        <w:t>音乐剧协会，开展多种形式的服务地方工作，深入融入地方文化建设。</w:t>
      </w:r>
      <w:r>
        <w:rPr>
          <w:rFonts w:hint="eastAsia"/>
          <w:sz w:val="32"/>
          <w:szCs w:val="32"/>
          <w:lang w:val="en-US"/>
        </w:rPr>
        <w:t>主力建设1-2个产学研基地。</w:t>
      </w:r>
    </w:p>
    <w:p>
      <w:pPr>
        <w:spacing w:line="520" w:lineRule="exact"/>
        <w:ind w:firstLine="643" w:firstLineChars="200"/>
        <w:jc w:val="both"/>
        <w:outlineLvl w:val="2"/>
        <w:rPr>
          <w:rFonts w:ascii="楷体" w:hAnsi="楷体" w:eastAsia="楷体" w:cstheme="minorBidi"/>
          <w:b/>
          <w:kern w:val="2"/>
          <w:sz w:val="32"/>
          <w:szCs w:val="32"/>
          <w:lang w:val="en-US" w:bidi="ar-SA"/>
        </w:rPr>
      </w:pPr>
      <w:bookmarkStart w:id="28" w:name="_Toc80652894"/>
      <w:r>
        <w:rPr>
          <w:rFonts w:hint="eastAsia" w:ascii="楷体" w:hAnsi="楷体" w:eastAsia="楷体" w:cstheme="minorBidi"/>
          <w:b/>
          <w:kern w:val="2"/>
          <w:sz w:val="32"/>
          <w:szCs w:val="32"/>
          <w:lang w:val="en-US" w:bidi="ar-SA"/>
        </w:rPr>
        <w:t>（四）人才培养重内涵，教学成果新突破</w:t>
      </w:r>
      <w:bookmarkEnd w:id="28"/>
    </w:p>
    <w:p>
      <w:pPr>
        <w:spacing w:line="520" w:lineRule="exact"/>
        <w:ind w:firstLine="643" w:firstLineChars="200"/>
        <w:jc w:val="both"/>
        <w:outlineLvl w:val="3"/>
        <w:rPr>
          <w:sz w:val="32"/>
          <w:szCs w:val="32"/>
        </w:rPr>
      </w:pPr>
      <w:r>
        <w:rPr>
          <w:rFonts w:hint="eastAsia" w:ascii="仿宋_GB2312" w:hAnsi="楷体" w:eastAsia="仿宋_GB2312" w:cstheme="minorBidi"/>
          <w:b/>
          <w:kern w:val="2"/>
          <w:sz w:val="32"/>
          <w:szCs w:val="32"/>
          <w:lang w:val="en-US" w:bidi="ar-SA"/>
        </w:rPr>
        <w:t>1.推进教育教学，师范专业通过二级认证。</w:t>
      </w:r>
      <w:r>
        <w:rPr>
          <w:rFonts w:hint="eastAsia"/>
          <w:sz w:val="32"/>
          <w:szCs w:val="32"/>
        </w:rPr>
        <w:t>落实立德树人根本任务，坚持全方位育人模式，打造艺术类“三创”（创新、创意、创业）育人高地。切实尊重并发挥教师的课堂主体作用，加强对教学常规工作的检查与督导，坚决处理迟到、旷课、作弊等现象和教学事故，创建良好教风学风。加强课程建设规划，课程思政全覆盖。加强基层教学组织建设，定期开展教研活动，打造“金课”，杜绝“水课”。在教学团队、课程、教材、教改项目上加大组织申报力度，推进“互联网+”“智慧+”课堂教学改革，优化教研成果和课程建设， 培育国家级一流课程，提升专业建设水平。系统推进教育评价改革，规范教学与教务管理机制，完善教学质量保障体系，</w:t>
      </w:r>
      <w:r>
        <w:rPr>
          <w:rFonts w:hint="eastAsia"/>
          <w:sz w:val="32"/>
          <w:szCs w:val="32"/>
          <w:lang w:val="en-US"/>
        </w:rPr>
        <w:t>确保稳步实现师范专业二级认证</w:t>
      </w:r>
      <w:r>
        <w:rPr>
          <w:rFonts w:hint="eastAsia"/>
          <w:sz w:val="32"/>
          <w:szCs w:val="32"/>
        </w:rPr>
        <w:t>。</w:t>
      </w:r>
    </w:p>
    <w:p>
      <w:pPr>
        <w:spacing w:line="520" w:lineRule="exact"/>
        <w:ind w:firstLine="643" w:firstLineChars="200"/>
        <w:jc w:val="both"/>
        <w:outlineLvl w:val="3"/>
        <w:rPr>
          <w:sz w:val="32"/>
          <w:szCs w:val="32"/>
        </w:rPr>
      </w:pPr>
      <w:r>
        <w:rPr>
          <w:rFonts w:hint="eastAsia" w:ascii="仿宋_GB2312" w:hAnsi="楷体" w:eastAsia="仿宋_GB2312" w:cstheme="minorBidi"/>
          <w:b/>
          <w:kern w:val="2"/>
          <w:sz w:val="32"/>
          <w:szCs w:val="32"/>
          <w:lang w:val="en-US" w:bidi="ar-SA"/>
        </w:rPr>
        <w:t>2.创新育人模式，力争省级教学成果奖。</w:t>
      </w:r>
      <w:r>
        <w:rPr>
          <w:rFonts w:hint="eastAsia"/>
          <w:sz w:val="32"/>
          <w:szCs w:val="32"/>
        </w:rPr>
        <w:t>深化“学生中心、产出导向、持续改进”的理念，推进音乐学</w:t>
      </w:r>
      <w:r>
        <w:rPr>
          <w:rFonts w:hint="eastAsia"/>
          <w:sz w:val="32"/>
          <w:szCs w:val="32"/>
          <w:lang w:val="en-US"/>
        </w:rPr>
        <w:t>学科与专业的</w:t>
      </w:r>
      <w:r>
        <w:rPr>
          <w:rFonts w:hint="eastAsia"/>
          <w:sz w:val="32"/>
          <w:szCs w:val="32"/>
        </w:rPr>
        <w:t>建设。坚持OBE理念，继续深化人才培养改革，完善</w:t>
      </w:r>
      <w:r>
        <w:rPr>
          <w:rFonts w:hint="eastAsia"/>
          <w:sz w:val="32"/>
          <w:szCs w:val="32"/>
          <w:lang w:val="en-US"/>
        </w:rPr>
        <w:t>本科与硕士研究生的人才培养</w:t>
      </w:r>
      <w:r>
        <w:rPr>
          <w:rFonts w:hint="eastAsia"/>
          <w:sz w:val="32"/>
          <w:szCs w:val="32"/>
        </w:rPr>
        <w:t>工作。狠抓毕业论文（设计）质量，加大抽检力度。提升学科竞赛和课题立项等级，</w:t>
      </w:r>
      <w:r>
        <w:rPr>
          <w:rFonts w:hint="eastAsia"/>
          <w:sz w:val="32"/>
          <w:szCs w:val="32"/>
          <w:lang w:val="en-US"/>
        </w:rPr>
        <w:t>孵化与冲刺各级“互联网+”创新创业大赛与“挑战杯”大赛。</w:t>
      </w:r>
      <w:r>
        <w:rPr>
          <w:rFonts w:hint="eastAsia"/>
          <w:sz w:val="32"/>
          <w:szCs w:val="32"/>
        </w:rPr>
        <w:t>打造省级一流专业，力争省级教学成果奖一等奖。</w:t>
      </w:r>
      <w:r>
        <w:rPr>
          <w:rFonts w:hint="eastAsia"/>
          <w:sz w:val="32"/>
          <w:szCs w:val="32"/>
          <w:lang w:val="en-US"/>
        </w:rPr>
        <w:t>切实做好大学生征兵工作，做好退役军人事务保障与服务工作。</w:t>
      </w:r>
      <w:r>
        <w:rPr>
          <w:rFonts w:hint="eastAsia"/>
          <w:sz w:val="32"/>
          <w:szCs w:val="32"/>
        </w:rPr>
        <w:t>加强学生职业规划指导，优化就业考研培育机制，提高毕业生留湖率。</w:t>
      </w:r>
    </w:p>
    <w:p>
      <w:pPr>
        <w:spacing w:line="520" w:lineRule="exact"/>
        <w:ind w:firstLine="643" w:firstLineChars="200"/>
        <w:jc w:val="both"/>
        <w:outlineLvl w:val="3"/>
        <w:rPr>
          <w:sz w:val="32"/>
          <w:szCs w:val="32"/>
          <w:lang w:val="en-US"/>
        </w:rPr>
      </w:pPr>
      <w:r>
        <w:rPr>
          <w:rFonts w:hint="eastAsia" w:ascii="仿宋_GB2312" w:hAnsi="楷体" w:eastAsia="仿宋_GB2312" w:cstheme="minorBidi"/>
          <w:b/>
          <w:kern w:val="2"/>
          <w:sz w:val="32"/>
          <w:szCs w:val="32"/>
          <w:lang w:val="en-US" w:bidi="ar-SA"/>
        </w:rPr>
        <w:t>3.深化校地共育，提升创新创业成果。</w:t>
      </w:r>
      <w:r>
        <w:rPr>
          <w:rFonts w:hint="eastAsia"/>
          <w:sz w:val="32"/>
          <w:szCs w:val="32"/>
        </w:rPr>
        <w:t>在校级人才培养模式改革试验区特色凝练的基础上，规范实习见习，确保成效，深化校企、校地合作，拓展实践教学内容的深度和广度， 完善与实践教学基地的协同育人机制，继续探索“校企一体化”育人模式。规范师范生三习工作，强化师范生技能训练，抓好教师资格证考试辅导工作，确保教资通过率达90%，切实提升师范生通过率和就业竞争力。扎实推进教育国际化，配合学校开展留学生教育和国境外交换生工作，参与孔子学院的艺术类教育和师生交流工作，</w:t>
      </w:r>
      <w:r>
        <w:rPr>
          <w:rFonts w:hint="eastAsia"/>
          <w:sz w:val="32"/>
          <w:szCs w:val="32"/>
          <w:lang w:val="en-US"/>
        </w:rPr>
        <w:t>做好汉文化、汉艺术的国际输出工作。</w:t>
      </w:r>
    </w:p>
    <w:p>
      <w:pPr>
        <w:spacing w:line="520" w:lineRule="exact"/>
        <w:ind w:firstLine="643" w:firstLineChars="200"/>
        <w:jc w:val="both"/>
        <w:outlineLvl w:val="3"/>
        <w:rPr>
          <w:sz w:val="32"/>
          <w:szCs w:val="32"/>
        </w:rPr>
      </w:pPr>
      <w:r>
        <w:rPr>
          <w:rFonts w:hint="eastAsia" w:ascii="仿宋_GB2312" w:hAnsi="楷体" w:eastAsia="仿宋_GB2312" w:cstheme="minorBidi"/>
          <w:b/>
          <w:kern w:val="2"/>
          <w:sz w:val="32"/>
          <w:szCs w:val="32"/>
          <w:lang w:val="en-US" w:bidi="ar-SA"/>
        </w:rPr>
        <w:t>4.推进实验室建设，凝练省级中心。</w:t>
      </w:r>
      <w:r>
        <w:rPr>
          <w:rFonts w:hint="eastAsia"/>
          <w:sz w:val="32"/>
          <w:szCs w:val="32"/>
        </w:rPr>
        <w:t>整合现有实验室，拓展外部资源，进一步有序、高质地推进实验室调整与新建工作，构建音乐学专业教室、实验室和工作室集聚区，做好维护工作，在保障教学需要的基础上拓展课外实训功能。抓实量化管理与考核，凝练特色，申报省级实验教学示范中心。</w:t>
      </w:r>
    </w:p>
    <w:p>
      <w:pPr>
        <w:spacing w:line="520" w:lineRule="exact"/>
        <w:ind w:firstLine="643" w:firstLineChars="200"/>
        <w:jc w:val="both"/>
        <w:outlineLvl w:val="2"/>
        <w:rPr>
          <w:rFonts w:ascii="楷体" w:hAnsi="楷体" w:eastAsia="楷体" w:cstheme="minorBidi"/>
          <w:b/>
          <w:kern w:val="2"/>
          <w:sz w:val="32"/>
          <w:szCs w:val="32"/>
          <w:lang w:val="en-US" w:bidi="ar-SA"/>
        </w:rPr>
      </w:pPr>
      <w:bookmarkStart w:id="29" w:name="_Toc80652895"/>
      <w:r>
        <w:rPr>
          <w:rFonts w:hint="eastAsia" w:ascii="楷体" w:hAnsi="楷体" w:eastAsia="楷体" w:cstheme="minorBidi"/>
          <w:b/>
          <w:kern w:val="2"/>
          <w:sz w:val="32"/>
          <w:szCs w:val="32"/>
          <w:lang w:val="en-US" w:bidi="ar-SA"/>
        </w:rPr>
        <w:t>（五）党建思政思路新，凝心聚力保发展</w:t>
      </w:r>
      <w:bookmarkEnd w:id="29"/>
    </w:p>
    <w:p>
      <w:pPr>
        <w:spacing w:line="520" w:lineRule="exact"/>
        <w:ind w:firstLine="643" w:firstLineChars="200"/>
        <w:jc w:val="both"/>
        <w:outlineLvl w:val="3"/>
        <w:rPr>
          <w:sz w:val="32"/>
          <w:szCs w:val="32"/>
        </w:rPr>
      </w:pPr>
      <w:r>
        <w:rPr>
          <w:rFonts w:hint="eastAsia" w:ascii="仿宋_GB2312" w:hAnsi="楷体" w:eastAsia="仿宋_GB2312" w:cstheme="minorBidi"/>
          <w:b/>
          <w:kern w:val="2"/>
          <w:sz w:val="32"/>
          <w:szCs w:val="32"/>
          <w:lang w:val="en-US" w:bidi="ar-SA"/>
        </w:rPr>
        <w:t>1.党组织建设。</w:t>
      </w:r>
      <w:r>
        <w:rPr>
          <w:rFonts w:hint="eastAsia"/>
          <w:sz w:val="32"/>
          <w:szCs w:val="32"/>
        </w:rPr>
        <w:t>加强学院领导班子建设，明确职责、加强团结，不断完善党委会议、党政联席会议等制度，强化党政协同创新。逐步推动“一切工作到支部”，积极探索支部工作与教学、科研、学生管理服务等紧密融合的作用发挥机制，结合实际推动“一支部一特色”，争创有</w:t>
      </w:r>
      <w:r>
        <w:rPr>
          <w:rFonts w:hint="eastAsia"/>
          <w:sz w:val="32"/>
          <w:szCs w:val="32"/>
          <w:lang w:val="en-US"/>
        </w:rPr>
        <w:t>音乐戏剧</w:t>
      </w:r>
      <w:r>
        <w:rPr>
          <w:rFonts w:hint="eastAsia"/>
          <w:sz w:val="32"/>
          <w:szCs w:val="32"/>
        </w:rPr>
        <w:t>艺术专业特色的党建品牌。推进教师支部“双带头人”培育工程，落实“三会一课”、主题党日、支部书记述职、党员民主评议等基本制度。加强党员教育管理服务监督，认真做好在师生中发展党员工作。</w:t>
      </w:r>
    </w:p>
    <w:p>
      <w:pPr>
        <w:spacing w:line="520" w:lineRule="exact"/>
        <w:ind w:firstLine="643" w:firstLineChars="200"/>
        <w:jc w:val="both"/>
        <w:outlineLvl w:val="3"/>
        <w:rPr>
          <w:sz w:val="32"/>
          <w:szCs w:val="32"/>
        </w:rPr>
      </w:pPr>
      <w:r>
        <w:rPr>
          <w:rFonts w:hint="eastAsia" w:ascii="仿宋_GB2312" w:hAnsi="楷体" w:eastAsia="仿宋_GB2312" w:cstheme="minorBidi"/>
          <w:b/>
          <w:kern w:val="2"/>
          <w:sz w:val="32"/>
          <w:szCs w:val="32"/>
          <w:lang w:val="en-US" w:bidi="ar-SA"/>
        </w:rPr>
        <w:t>2.干部队伍建设。</w:t>
      </w:r>
      <w:r>
        <w:rPr>
          <w:rFonts w:hint="eastAsia"/>
          <w:sz w:val="32"/>
          <w:szCs w:val="32"/>
        </w:rPr>
        <w:t>选好配强学院内设中层干部，在学校统筹调配科级干部的基础上，结合学院发展实际，合理设置干部职数，加强对业务骨干、学科带头人等的使用力度，把想做事、能做事、</w:t>
      </w:r>
      <w:r>
        <w:rPr>
          <w:rFonts w:hint="eastAsia"/>
          <w:sz w:val="32"/>
          <w:szCs w:val="32"/>
          <w:lang w:val="en-US"/>
        </w:rPr>
        <w:t>做的成事、不出事、并</w:t>
      </w:r>
      <w:r>
        <w:rPr>
          <w:rFonts w:hint="eastAsia"/>
          <w:sz w:val="32"/>
          <w:szCs w:val="32"/>
        </w:rPr>
        <w:t>有</w:t>
      </w:r>
      <w:r>
        <w:rPr>
          <w:rFonts w:hint="eastAsia"/>
          <w:sz w:val="32"/>
          <w:szCs w:val="32"/>
          <w:lang w:val="en-US"/>
        </w:rPr>
        <w:t>强烈</w:t>
      </w:r>
      <w:r>
        <w:rPr>
          <w:rFonts w:hint="eastAsia"/>
          <w:sz w:val="32"/>
          <w:szCs w:val="32"/>
        </w:rPr>
        <w:t>奉献精神的优秀人才放到干部岗位上来；加强对学院内设中层干部的培养教育与考核监督，制订培养方案，给予相应职务补贴，明确岗位职责，建立目标考核与监督管理等机制。</w:t>
      </w:r>
    </w:p>
    <w:p>
      <w:pPr>
        <w:spacing w:line="520" w:lineRule="exact"/>
        <w:ind w:firstLine="643" w:firstLineChars="200"/>
        <w:jc w:val="both"/>
        <w:outlineLvl w:val="3"/>
        <w:rPr>
          <w:sz w:val="32"/>
          <w:szCs w:val="32"/>
        </w:rPr>
      </w:pPr>
      <w:r>
        <w:rPr>
          <w:rFonts w:hint="eastAsia" w:ascii="仿宋_GB2312" w:hAnsi="楷体" w:eastAsia="仿宋_GB2312" w:cstheme="minorBidi"/>
          <w:b/>
          <w:kern w:val="2"/>
          <w:sz w:val="32"/>
          <w:szCs w:val="32"/>
          <w:lang w:val="en-US" w:bidi="ar-SA"/>
        </w:rPr>
        <w:t>3.师德师风建设。</w:t>
      </w:r>
      <w:r>
        <w:rPr>
          <w:rFonts w:hint="eastAsia"/>
          <w:sz w:val="32"/>
          <w:szCs w:val="32"/>
        </w:rPr>
        <w:t>根据学校《关于加强和改进新时代师德师风的实施意见》《教师师德师风失范行为处理办法（试行）》《教师职业道德守则和行为规范》《拟入职教师思想政治与品德综合考察工作规程（试行）》四个文件精神，进一步加强师德师风建设。认真抓好教师的政治理论学习，以教风为抓手，教育引导教师不断提升政治理论修养、道德品质修养和教育教学水平，争做“四有”好教师。</w:t>
      </w:r>
    </w:p>
    <w:p>
      <w:pPr>
        <w:spacing w:line="520" w:lineRule="exact"/>
        <w:ind w:firstLine="643" w:firstLineChars="200"/>
        <w:jc w:val="both"/>
        <w:outlineLvl w:val="3"/>
        <w:rPr>
          <w:sz w:val="32"/>
          <w:szCs w:val="32"/>
        </w:rPr>
      </w:pPr>
      <w:r>
        <w:rPr>
          <w:rFonts w:hint="eastAsia" w:ascii="仿宋_GB2312" w:hAnsi="楷体" w:eastAsia="仿宋_GB2312" w:cstheme="minorBidi"/>
          <w:b/>
          <w:kern w:val="2"/>
          <w:sz w:val="32"/>
          <w:szCs w:val="32"/>
          <w:lang w:val="en-US" w:bidi="ar-SA"/>
        </w:rPr>
        <w:t>4.清廉学院建设。</w:t>
      </w:r>
      <w:r>
        <w:rPr>
          <w:rFonts w:hint="eastAsia"/>
          <w:sz w:val="32"/>
          <w:szCs w:val="32"/>
        </w:rPr>
        <w:t>深入贯彻全面从严治党，进一步提高政治站位，旗帜鲜明地强化政治监督，严格执行中央八项规 定等精神，认真落实好我校《二级单位党风廉政建设主体责任清单》中的各项内容，同时根据《中国共产党廉洁自律准则》等文件精神，组织开展形式多样的廉政教育，每年召开专题廉政分析会，认真开展自查自纠。</w:t>
      </w:r>
    </w:p>
    <w:p>
      <w:pPr>
        <w:spacing w:line="520" w:lineRule="exact"/>
        <w:ind w:firstLine="643" w:firstLineChars="200"/>
        <w:jc w:val="both"/>
        <w:outlineLvl w:val="3"/>
        <w:rPr>
          <w:sz w:val="32"/>
          <w:szCs w:val="32"/>
        </w:rPr>
      </w:pPr>
      <w:r>
        <w:rPr>
          <w:rFonts w:hint="eastAsia" w:ascii="仿宋_GB2312" w:hAnsi="楷体" w:eastAsia="仿宋_GB2312" w:cstheme="minorBidi"/>
          <w:b/>
          <w:kern w:val="2"/>
          <w:sz w:val="32"/>
          <w:szCs w:val="32"/>
          <w:lang w:val="en-US" w:bidi="ar-SA"/>
        </w:rPr>
        <w:t>5.民主治院工作。</w:t>
      </w:r>
      <w:r>
        <w:rPr>
          <w:rFonts w:hint="eastAsia"/>
          <w:sz w:val="32"/>
          <w:szCs w:val="32"/>
        </w:rPr>
        <w:t>坚持依法治院、民主管理，推进院务公开，完善综合治理，发挥好教代会、学术分委员会、分工会、分团委、学生会等组织，以及民主党派、无党派人士在学院发展中的作用。完善领导班子联系基层制度，进一步改进作风、优化服务。加强与校友的联络联谊，推进校友工作， 充分凝聚广大校友力量为学院和学校发展贡献聪明才智。</w:t>
      </w:r>
    </w:p>
    <w:p>
      <w:pPr>
        <w:spacing w:line="520" w:lineRule="exact"/>
        <w:ind w:firstLine="643" w:firstLineChars="200"/>
        <w:jc w:val="both"/>
        <w:outlineLvl w:val="2"/>
        <w:rPr>
          <w:rFonts w:ascii="楷体" w:hAnsi="楷体" w:eastAsia="楷体" w:cstheme="minorBidi"/>
          <w:b/>
          <w:kern w:val="2"/>
          <w:sz w:val="32"/>
          <w:szCs w:val="32"/>
          <w:lang w:val="en-US" w:bidi="ar-SA"/>
        </w:rPr>
      </w:pPr>
      <w:bookmarkStart w:id="30" w:name="_Toc80652896"/>
      <w:r>
        <w:rPr>
          <w:rFonts w:hint="eastAsia" w:ascii="楷体" w:hAnsi="楷体" w:eastAsia="楷体" w:cstheme="minorBidi"/>
          <w:b/>
          <w:kern w:val="2"/>
          <w:sz w:val="32"/>
          <w:szCs w:val="32"/>
          <w:lang w:val="en-US" w:bidi="ar-SA"/>
        </w:rPr>
        <w:t>（六）育人管理重规范，助力大学生成长</w:t>
      </w:r>
      <w:bookmarkEnd w:id="30"/>
    </w:p>
    <w:p>
      <w:pPr>
        <w:spacing w:line="520" w:lineRule="exact"/>
        <w:ind w:firstLine="643" w:firstLineChars="200"/>
        <w:jc w:val="both"/>
        <w:outlineLvl w:val="3"/>
        <w:rPr>
          <w:sz w:val="32"/>
          <w:szCs w:val="32"/>
        </w:rPr>
      </w:pPr>
      <w:r>
        <w:rPr>
          <w:rFonts w:hint="eastAsia" w:ascii="仿宋_GB2312" w:hAnsi="楷体" w:eastAsia="仿宋_GB2312" w:cstheme="minorBidi"/>
          <w:b/>
          <w:kern w:val="2"/>
          <w:sz w:val="32"/>
          <w:szCs w:val="32"/>
          <w:lang w:val="en-US" w:bidi="ar-SA"/>
        </w:rPr>
        <w:t>1.规范学生管理，大力提升育人质量。</w:t>
      </w:r>
      <w:r>
        <w:rPr>
          <w:rFonts w:hint="eastAsia"/>
          <w:sz w:val="32"/>
          <w:szCs w:val="32"/>
        </w:rPr>
        <w:t>以习近平新时代中国特色社会主义思想为指引，深入贯彻落实全国教育大会和全国全省高校思想政治工作会议精神，紧紧围绕立德树人根本任务，秉持“明体达用”校训，不断推进“三全育人” 工作。完善学生管理工作机制，加强心理健康工作，守住安全底线。加强教风、学风、班风建设，严抓常规工作，规范管理，力求实效。坚持学工线与教学线无缝对接，充分调动学工线、教学线、班主任、授课教师等全体教职员工的育人积极性。打造特色亮点，加强学科竞赛、考研、党建思政、</w:t>
      </w:r>
      <w:r>
        <w:rPr>
          <w:rFonts w:hint="eastAsia"/>
          <w:sz w:val="32"/>
          <w:szCs w:val="32"/>
          <w:lang w:val="en-US"/>
        </w:rPr>
        <w:t>艺术院团</w:t>
      </w:r>
      <w:r>
        <w:rPr>
          <w:rFonts w:hint="eastAsia"/>
          <w:sz w:val="32"/>
          <w:szCs w:val="32"/>
        </w:rPr>
        <w:t>工作力度，扎实推进大学生就业与创新创业工作，拓展第二课堂，全面提升人才培养质量。</w:t>
      </w:r>
    </w:p>
    <w:p>
      <w:pPr>
        <w:spacing w:line="520" w:lineRule="exact"/>
        <w:ind w:firstLine="643" w:firstLineChars="200"/>
        <w:jc w:val="both"/>
        <w:outlineLvl w:val="3"/>
        <w:rPr>
          <w:sz w:val="32"/>
          <w:szCs w:val="32"/>
        </w:rPr>
      </w:pPr>
      <w:r>
        <w:rPr>
          <w:rFonts w:hint="eastAsia" w:ascii="仿宋_GB2312" w:hAnsi="楷体" w:eastAsia="仿宋_GB2312" w:cstheme="minorBidi"/>
          <w:b/>
          <w:kern w:val="2"/>
          <w:sz w:val="32"/>
          <w:szCs w:val="32"/>
          <w:lang w:val="en-US" w:bidi="ar-SA"/>
        </w:rPr>
        <w:t>2.推进党建思政工作，发挥模范引领作用。</w:t>
      </w:r>
      <w:r>
        <w:rPr>
          <w:rFonts w:hint="eastAsia"/>
          <w:sz w:val="32"/>
          <w:szCs w:val="32"/>
        </w:rPr>
        <w:t>加强大学生党建与思政工作，培养一批思想觉悟高、专业素质好、能起到模范带头作用的大学生党员。加强党建品牌建设，制定学生党建与大学生思想政治教育协同、与学生日常管理协同、与学风建设协同等工作机制，展现学生党支部的组织优势和队伍优势，重点做好党员教育管理和入党积极分子的培训考察，继续推进学生党建服务品牌的实践与创新。</w:t>
      </w:r>
    </w:p>
    <w:p>
      <w:pPr>
        <w:spacing w:line="520" w:lineRule="exact"/>
        <w:ind w:firstLine="643" w:firstLineChars="200"/>
        <w:outlineLvl w:val="2"/>
        <w:rPr>
          <w:rFonts w:ascii="楷体" w:hAnsi="楷体" w:eastAsia="楷体" w:cstheme="minorBidi"/>
          <w:b/>
          <w:kern w:val="2"/>
          <w:sz w:val="32"/>
          <w:szCs w:val="32"/>
          <w:lang w:val="en-US" w:bidi="ar-SA"/>
        </w:rPr>
      </w:pPr>
      <w:bookmarkStart w:id="31" w:name="_Toc80652897"/>
      <w:r>
        <w:rPr>
          <w:rFonts w:hint="eastAsia" w:ascii="楷体" w:hAnsi="楷体" w:eastAsia="楷体" w:cstheme="minorBidi"/>
          <w:b/>
          <w:kern w:val="2"/>
          <w:sz w:val="32"/>
          <w:szCs w:val="32"/>
          <w:lang w:val="en-US" w:bidi="ar-SA"/>
        </w:rPr>
        <w:t>（七）文化建设新举措，社会影响效应强</w:t>
      </w:r>
      <w:bookmarkEnd w:id="31"/>
    </w:p>
    <w:p>
      <w:pPr>
        <w:spacing w:line="520" w:lineRule="exact"/>
        <w:ind w:firstLine="640" w:firstLineChars="200"/>
        <w:jc w:val="both"/>
        <w:rPr>
          <w:sz w:val="32"/>
          <w:szCs w:val="32"/>
        </w:rPr>
      </w:pPr>
      <w:r>
        <w:rPr>
          <w:rFonts w:hint="eastAsia"/>
          <w:sz w:val="32"/>
          <w:szCs w:val="32"/>
        </w:rPr>
        <w:t>充分发挥专业特色，努力打造</w:t>
      </w:r>
      <w:r>
        <w:rPr>
          <w:rFonts w:hint="eastAsia"/>
          <w:sz w:val="32"/>
          <w:szCs w:val="32"/>
          <w:lang w:val="en-US"/>
        </w:rPr>
        <w:t>长三角地区</w:t>
      </w:r>
      <w:r>
        <w:rPr>
          <w:rFonts w:hint="eastAsia"/>
          <w:sz w:val="32"/>
          <w:szCs w:val="32"/>
        </w:rPr>
        <w:t>的文化高地。积极参加</w:t>
      </w:r>
      <w:r>
        <w:rPr>
          <w:rFonts w:hint="eastAsia"/>
          <w:sz w:val="32"/>
          <w:szCs w:val="32"/>
          <w:lang w:val="en-US"/>
        </w:rPr>
        <w:t>各类</w:t>
      </w:r>
      <w:r>
        <w:rPr>
          <w:rFonts w:hint="eastAsia"/>
          <w:sz w:val="32"/>
          <w:szCs w:val="32"/>
        </w:rPr>
        <w:t>文化活动，重点推进原创文化建设，争取在“</w:t>
      </w:r>
      <w:r>
        <w:rPr>
          <w:rFonts w:hint="eastAsia"/>
          <w:sz w:val="32"/>
          <w:szCs w:val="32"/>
          <w:lang w:val="en-US"/>
        </w:rPr>
        <w:t>六大领域</w:t>
      </w:r>
      <w:r>
        <w:rPr>
          <w:rFonts w:hint="eastAsia"/>
          <w:sz w:val="32"/>
          <w:szCs w:val="32"/>
        </w:rPr>
        <w:t>”与</w:t>
      </w:r>
      <w:r>
        <w:rPr>
          <w:rFonts w:hint="eastAsia"/>
          <w:sz w:val="32"/>
          <w:szCs w:val="32"/>
          <w:lang w:val="en-US"/>
        </w:rPr>
        <w:t>长三角</w:t>
      </w:r>
      <w:r>
        <w:rPr>
          <w:rFonts w:hint="eastAsia"/>
          <w:sz w:val="32"/>
          <w:szCs w:val="32"/>
        </w:rPr>
        <w:t>地域文化相契合中取得</w:t>
      </w:r>
      <w:r>
        <w:rPr>
          <w:rFonts w:hint="eastAsia"/>
          <w:sz w:val="32"/>
          <w:szCs w:val="32"/>
          <w:lang w:val="en-US"/>
        </w:rPr>
        <w:t>标志性</w:t>
      </w:r>
      <w:r>
        <w:rPr>
          <w:rFonts w:hint="eastAsia"/>
          <w:sz w:val="32"/>
          <w:szCs w:val="32"/>
        </w:rPr>
        <w:t>成绩。积极参</w:t>
      </w:r>
      <w:r>
        <w:rPr>
          <w:rFonts w:hint="eastAsia"/>
          <w:sz w:val="32"/>
          <w:szCs w:val="32"/>
          <w:lang w:val="en-US"/>
        </w:rPr>
        <w:t>与地方</w:t>
      </w:r>
      <w:r>
        <w:rPr>
          <w:rFonts w:hint="eastAsia"/>
          <w:sz w:val="32"/>
          <w:szCs w:val="32"/>
        </w:rPr>
        <w:t>文化建设，争取在“五个一工程”“文艺</w:t>
      </w:r>
      <w:r>
        <w:rPr>
          <w:rFonts w:hint="eastAsia"/>
          <w:sz w:val="32"/>
          <w:szCs w:val="32"/>
          <w:lang w:val="en-US"/>
        </w:rPr>
        <w:t>精品工程</w:t>
      </w:r>
      <w:r>
        <w:rPr>
          <w:rFonts w:hint="eastAsia"/>
          <w:sz w:val="32"/>
          <w:szCs w:val="32"/>
        </w:rPr>
        <w:t>”“</w:t>
      </w:r>
      <w:r>
        <w:rPr>
          <w:rFonts w:hint="eastAsia"/>
          <w:sz w:val="32"/>
          <w:szCs w:val="32"/>
          <w:lang w:val="en-US"/>
        </w:rPr>
        <w:t>基金扶持</w:t>
      </w:r>
      <w:r>
        <w:rPr>
          <w:rFonts w:hint="eastAsia"/>
          <w:sz w:val="32"/>
          <w:szCs w:val="32"/>
        </w:rPr>
        <w:t>”等方面取得突破性成绩。</w:t>
      </w:r>
      <w:r>
        <w:rPr>
          <w:rFonts w:hint="eastAsia"/>
          <w:sz w:val="32"/>
          <w:szCs w:val="32"/>
          <w:lang w:val="en-US"/>
        </w:rPr>
        <w:t>加强赋能乡村振兴、蓄能共同富裕、助力建设人文警务等主题性活动。</w:t>
      </w:r>
      <w:r>
        <w:rPr>
          <w:rFonts w:hint="eastAsia"/>
          <w:sz w:val="32"/>
          <w:szCs w:val="32"/>
        </w:rPr>
        <w:t>加强新闻宣传，提升学院影响力，</w:t>
      </w:r>
      <w:r>
        <w:rPr>
          <w:rFonts w:hint="eastAsia"/>
          <w:sz w:val="32"/>
          <w:szCs w:val="32"/>
          <w:lang w:val="en-US"/>
        </w:rPr>
        <w:t>建设与</w:t>
      </w:r>
      <w:r>
        <w:rPr>
          <w:rFonts w:hint="eastAsia"/>
          <w:sz w:val="32"/>
          <w:szCs w:val="32"/>
        </w:rPr>
        <w:t>丰富学院网站、</w:t>
      </w:r>
      <w:r>
        <w:rPr>
          <w:rFonts w:hint="eastAsia"/>
          <w:sz w:val="32"/>
          <w:szCs w:val="32"/>
          <w:lang w:val="en-US"/>
        </w:rPr>
        <w:t>公众号</w:t>
      </w:r>
      <w:r>
        <w:rPr>
          <w:rFonts w:hint="eastAsia"/>
          <w:sz w:val="32"/>
          <w:szCs w:val="32"/>
        </w:rPr>
        <w:t>内容，加强功能，展示形象。围绕中心工作做好新闻宣传，提升学院影响力。</w:t>
      </w:r>
    </w:p>
    <w:p>
      <w:pPr>
        <w:spacing w:line="520" w:lineRule="exact"/>
        <w:ind w:firstLine="643" w:firstLineChars="200"/>
        <w:outlineLvl w:val="2"/>
        <w:rPr>
          <w:rFonts w:ascii="楷体" w:hAnsi="楷体" w:eastAsia="楷体" w:cstheme="minorBidi"/>
          <w:b/>
          <w:kern w:val="2"/>
          <w:sz w:val="32"/>
          <w:szCs w:val="32"/>
          <w:lang w:val="en-US" w:bidi="ar-SA"/>
        </w:rPr>
      </w:pPr>
      <w:bookmarkStart w:id="32" w:name="_Toc80652898"/>
      <w:r>
        <w:rPr>
          <w:rFonts w:hint="eastAsia" w:ascii="楷体" w:hAnsi="楷体" w:eastAsia="楷体" w:cstheme="minorBidi"/>
          <w:b/>
          <w:kern w:val="2"/>
          <w:sz w:val="32"/>
          <w:szCs w:val="32"/>
          <w:lang w:val="en-US" w:bidi="ar-SA"/>
        </w:rPr>
        <w:t>（八）管理服务意识强，量化考核精细化</w:t>
      </w:r>
      <w:bookmarkEnd w:id="32"/>
    </w:p>
    <w:p>
      <w:pPr>
        <w:spacing w:line="520" w:lineRule="exact"/>
        <w:ind w:firstLine="640" w:firstLineChars="200"/>
        <w:jc w:val="both"/>
        <w:rPr>
          <w:sz w:val="32"/>
          <w:szCs w:val="32"/>
        </w:rPr>
      </w:pPr>
      <w:r>
        <w:rPr>
          <w:rFonts w:hint="eastAsia"/>
          <w:sz w:val="32"/>
          <w:szCs w:val="32"/>
        </w:rPr>
        <w:t>强化服务意识，依据岗位聘任考核精神，实行全员分线业绩量化考核。行政人员依据常态工作台账、权重与服务质量进行分项量化积分考核。完善教学业绩考核制度，教师按照教学业绩、科学研究、育人情况、工作协同情况积分考核，实验人员按照实验管理工作台账、工作权重、科研情况、辅导学生实践情况、工作协同情况考核。学科带头人和院设中层参照双肩挑人员同时对团队管理、团队业绩进行考核。考核结果实时公布，接受全员监督并与工作绩效、绩效分配与工作奖励挂钩。</w:t>
      </w:r>
    </w:p>
    <w:p>
      <w:pPr>
        <w:spacing w:line="520" w:lineRule="exact"/>
        <w:ind w:firstLine="643" w:firstLineChars="200"/>
        <w:rPr>
          <w:rFonts w:ascii="华文中宋" w:hAnsi="华文中宋" w:eastAsia="华文中宋" w:cs="华文中宋"/>
          <w:b/>
          <w:bCs/>
          <w:sz w:val="32"/>
          <w:szCs w:val="32"/>
          <w:lang w:val="en-US"/>
        </w:rPr>
      </w:pPr>
    </w:p>
    <w:p>
      <w:pPr>
        <w:spacing w:line="360" w:lineRule="auto"/>
        <w:jc w:val="center"/>
        <w:outlineLvl w:val="0"/>
        <w:rPr>
          <w:rFonts w:ascii="华文中宋" w:hAnsi="华文中宋" w:eastAsia="华文中宋" w:cs="华文中宋"/>
          <w:b/>
          <w:bCs/>
          <w:sz w:val="36"/>
          <w:szCs w:val="36"/>
          <w:lang w:val="en-US"/>
        </w:rPr>
      </w:pPr>
      <w:r>
        <w:rPr>
          <w:rFonts w:hint="eastAsia" w:ascii="华文中宋" w:hAnsi="华文中宋" w:eastAsia="华文中宋" w:cs="华文中宋"/>
          <w:b/>
          <w:bCs/>
          <w:sz w:val="36"/>
          <w:szCs w:val="36"/>
          <w:lang w:val="en-US"/>
        </w:rPr>
        <w:t>结 语</w:t>
      </w:r>
    </w:p>
    <w:p>
      <w:pPr>
        <w:spacing w:line="520" w:lineRule="exact"/>
        <w:ind w:firstLine="640" w:firstLineChars="200"/>
        <w:jc w:val="both"/>
        <w:rPr>
          <w:sz w:val="32"/>
          <w:szCs w:val="32"/>
        </w:rPr>
      </w:pPr>
      <w:r>
        <w:rPr>
          <w:rFonts w:hint="eastAsia"/>
          <w:sz w:val="32"/>
          <w:szCs w:val="32"/>
        </w:rPr>
        <w:t>“十四五”时期是学校加快综合性大学建设步伐的关键时期，也是音乐学院开启创业历程和提升核心竞争力的关键时期。通过这五年的努力，我们将在办学层次上实现突破，初步建成某一领域达到全国领先水平，</w:t>
      </w:r>
      <w:r>
        <w:rPr>
          <w:rFonts w:hint="eastAsia"/>
          <w:sz w:val="32"/>
          <w:szCs w:val="32"/>
          <w:lang w:val="en-US"/>
        </w:rPr>
        <w:t>并</w:t>
      </w:r>
      <w:r>
        <w:rPr>
          <w:rFonts w:hint="eastAsia"/>
          <w:sz w:val="32"/>
          <w:szCs w:val="32"/>
        </w:rPr>
        <w:t>在国内</w:t>
      </w:r>
      <w:r>
        <w:rPr>
          <w:rFonts w:hint="eastAsia"/>
          <w:sz w:val="32"/>
          <w:szCs w:val="32"/>
          <w:lang w:val="en-US"/>
        </w:rPr>
        <w:t>具</w:t>
      </w:r>
      <w:r>
        <w:rPr>
          <w:rFonts w:hint="eastAsia"/>
          <w:sz w:val="32"/>
          <w:szCs w:val="32"/>
        </w:rPr>
        <w:t>有一定影响、一定水平，在长三角地区特色鲜明、优势突出、有</w:t>
      </w:r>
      <w:r>
        <w:rPr>
          <w:rFonts w:hint="eastAsia"/>
          <w:sz w:val="32"/>
          <w:szCs w:val="32"/>
          <w:lang w:val="en-US"/>
        </w:rPr>
        <w:t>显著</w:t>
      </w:r>
      <w:r>
        <w:rPr>
          <w:rFonts w:hint="eastAsia"/>
          <w:sz w:val="32"/>
          <w:szCs w:val="32"/>
        </w:rPr>
        <w:t>地位的湖州师范大学音乐学院。让我们在学校“湖州师范大学梦”的引领下，团结奋进，脚踏实地，改革创新，确保各项发展目标的全面完成，为</w:t>
      </w:r>
      <w:r>
        <w:rPr>
          <w:rFonts w:hint="eastAsia"/>
          <w:sz w:val="32"/>
          <w:szCs w:val="32"/>
          <w:lang w:val="en-US"/>
        </w:rPr>
        <w:t>音乐</w:t>
      </w:r>
      <w:r>
        <w:rPr>
          <w:rFonts w:hint="eastAsia"/>
          <w:sz w:val="32"/>
          <w:szCs w:val="32"/>
        </w:rPr>
        <w:t>学院发展迈向新台阶而努力奋斗！</w:t>
      </w:r>
    </w:p>
    <w:p>
      <w:pPr>
        <w:spacing w:line="520" w:lineRule="exact"/>
        <w:jc w:val="center"/>
        <w:rPr>
          <w:rFonts w:ascii="华文仿宋" w:hAnsi="华文仿宋" w:eastAsia="华文仿宋" w:cs="华文仿宋"/>
          <w:sz w:val="32"/>
          <w:szCs w:val="32"/>
          <w:lang w:val="en-US"/>
        </w:rPr>
      </w:pPr>
      <w:r>
        <w:rPr>
          <w:rFonts w:hint="eastAsia" w:ascii="华文仿宋" w:hAnsi="华文仿宋" w:eastAsia="华文仿宋" w:cs="华文仿宋"/>
          <w:sz w:val="32"/>
          <w:szCs w:val="32"/>
          <w:lang w:val="en-US"/>
        </w:rPr>
        <w:t xml:space="preserve">                                                                    </w:t>
      </w:r>
    </w:p>
    <w:p>
      <w:pPr>
        <w:spacing w:line="520" w:lineRule="exact"/>
        <w:jc w:val="center"/>
        <w:rPr>
          <w:rFonts w:ascii="华文仿宋" w:hAnsi="华文仿宋" w:eastAsia="华文仿宋" w:cs="华文仿宋"/>
          <w:sz w:val="32"/>
          <w:szCs w:val="32"/>
          <w:lang w:val="en-US"/>
        </w:rPr>
      </w:pPr>
      <w:r>
        <w:rPr>
          <w:rFonts w:hint="eastAsia" w:ascii="华文仿宋" w:hAnsi="华文仿宋" w:eastAsia="华文仿宋" w:cs="华文仿宋"/>
          <w:sz w:val="32"/>
          <w:szCs w:val="32"/>
          <w:lang w:val="en-US"/>
        </w:rPr>
        <w:t xml:space="preserve">                                  </w:t>
      </w:r>
    </w:p>
    <w:p>
      <w:pPr>
        <w:spacing w:line="520" w:lineRule="exact"/>
        <w:jc w:val="right"/>
        <w:outlineLvl w:val="0"/>
        <w:rPr>
          <w:rFonts w:ascii="华文仿宋" w:hAnsi="华文仿宋" w:eastAsia="华文仿宋" w:cs="华文仿宋"/>
          <w:sz w:val="32"/>
          <w:szCs w:val="32"/>
        </w:rPr>
      </w:pPr>
      <w:r>
        <w:rPr>
          <w:rFonts w:hint="eastAsia" w:ascii="华文仿宋" w:hAnsi="华文仿宋" w:eastAsia="华文仿宋" w:cs="华文仿宋"/>
          <w:sz w:val="32"/>
          <w:szCs w:val="32"/>
          <w:lang w:val="en-US"/>
        </w:rPr>
        <w:t xml:space="preserve">                                                                               </w:t>
      </w:r>
      <w:bookmarkStart w:id="33" w:name="_Toc13769"/>
      <w:r>
        <w:rPr>
          <w:rFonts w:hint="eastAsia" w:ascii="华文仿宋" w:hAnsi="华文仿宋" w:eastAsia="华文仿宋" w:cs="华文仿宋"/>
          <w:sz w:val="32"/>
          <w:szCs w:val="32"/>
          <w:lang w:val="en-US"/>
        </w:rPr>
        <w:t xml:space="preserve">  </w:t>
      </w:r>
      <w:bookmarkStart w:id="34" w:name="_Toc80652899"/>
      <w:r>
        <w:rPr>
          <w:rFonts w:hint="eastAsia" w:ascii="华文仿宋" w:hAnsi="华文仿宋" w:eastAsia="华文仿宋" w:cs="华文仿宋"/>
          <w:sz w:val="32"/>
          <w:szCs w:val="32"/>
          <w:lang w:val="en-US" w:eastAsia="zh-CN"/>
        </w:rPr>
        <w:t xml:space="preserve">          </w:t>
      </w:r>
      <w:bookmarkStart w:id="35" w:name="_GoBack"/>
      <w:bookmarkEnd w:id="35"/>
      <w:r>
        <w:rPr>
          <w:rFonts w:hint="eastAsia" w:ascii="华文仿宋" w:hAnsi="华文仿宋" w:eastAsia="华文仿宋" w:cs="华文仿宋"/>
          <w:sz w:val="32"/>
          <w:szCs w:val="32"/>
        </w:rPr>
        <w:t>音乐学院</w:t>
      </w:r>
      <w:bookmarkEnd w:id="33"/>
      <w:bookmarkEnd w:id="34"/>
      <w:r>
        <w:rPr>
          <w:rFonts w:hint="eastAsia" w:ascii="华文仿宋" w:hAnsi="华文仿宋" w:eastAsia="华文仿宋" w:cs="华文仿宋"/>
          <w:sz w:val="32"/>
          <w:szCs w:val="32"/>
        </w:rPr>
        <w:t>（筹）</w:t>
      </w:r>
    </w:p>
    <w:p>
      <w:pPr>
        <w:spacing w:line="520" w:lineRule="exact"/>
        <w:jc w:val="right"/>
        <w:rPr>
          <w:rFonts w:ascii="华文仿宋" w:hAnsi="华文仿宋" w:eastAsia="华文仿宋" w:cs="华文仿宋"/>
          <w:sz w:val="32"/>
          <w:szCs w:val="32"/>
        </w:rPr>
      </w:pPr>
      <w:r>
        <w:rPr>
          <w:rFonts w:hint="eastAsia" w:ascii="华文仿宋" w:hAnsi="华文仿宋" w:eastAsia="华文仿宋" w:cs="华文仿宋"/>
          <w:sz w:val="32"/>
          <w:szCs w:val="32"/>
        </w:rPr>
        <w:t>二〇二一年八月二十</w:t>
      </w:r>
      <w:r>
        <w:rPr>
          <w:rFonts w:hint="eastAsia" w:ascii="华文仿宋" w:hAnsi="华文仿宋" w:eastAsia="华文仿宋" w:cs="华文仿宋"/>
          <w:sz w:val="32"/>
          <w:szCs w:val="32"/>
          <w:lang w:val="en-US"/>
        </w:rPr>
        <w:t>九</w:t>
      </w:r>
      <w:r>
        <w:rPr>
          <w:rFonts w:hint="eastAsia" w:ascii="华文仿宋" w:hAnsi="华文仿宋" w:eastAsia="华文仿宋" w:cs="华文仿宋"/>
          <w:sz w:val="32"/>
          <w:szCs w:val="32"/>
        </w:rPr>
        <w:t>日</w:t>
      </w:r>
    </w:p>
    <w:sectPr>
      <w:footerReference r:id="rId5" w:type="default"/>
      <w:pgSz w:w="11910" w:h="16840"/>
      <w:pgMar w:top="1500" w:right="1380" w:bottom="1380" w:left="1680" w:header="852" w:footer="1196" w:gutter="0"/>
      <w:pgNumType w:fmt="numberInDash"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华文楷体">
    <w:altName w:val="楷体_GB2312"/>
    <w:panose1 w:val="02010600040101010101"/>
    <w:charset w:val="86"/>
    <w:family w:val="auto"/>
    <w:pitch w:val="default"/>
    <w:sig w:usb0="00000000" w:usb1="00000000" w:usb2="00000000" w:usb3="00000000" w:csb0="0004009F" w:csb1="DFD70000"/>
  </w:font>
  <w:font w:name="华文仿宋">
    <w:altName w:val="仿宋"/>
    <w:panose1 w:val="02010600040101010101"/>
    <w:charset w:val="86"/>
    <w:family w:val="auto"/>
    <w:pitch w:val="default"/>
    <w:sig w:usb0="00000000" w:usb1="00000000" w:usb2="00000000" w:usb3="00000000" w:csb0="0004009F" w:csb1="DFD70000"/>
  </w:font>
  <w:font w:name="华光小标宋_CNKI">
    <w:altName w:val="宋体"/>
    <w:panose1 w:val="00000000000000000000"/>
    <w:charset w:val="86"/>
    <w:family w:val="auto"/>
    <w:pitch w:val="default"/>
    <w:sig w:usb0="00000000" w:usb1="00000000" w:usb2="00000016" w:usb3="00000000" w:csb0="0004000F"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before="0" w:line="14" w:lineRule="auto"/>
      <w:ind w:left="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before="0" w:line="14" w:lineRule="auto"/>
      <w:ind w:left="0"/>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before="0" w:line="14" w:lineRule="auto"/>
      <w:ind w:left="0"/>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b/>
                              <w:bCs/>
                              <w:color w:val="000000" w:themeColor="text1"/>
                              <w14:textFill>
                                <w14:solidFill>
                                  <w14:schemeClr w14:val="tx1"/>
                                </w14:solidFill>
                              </w14:textFill>
                            </w:rPr>
                          </w:pPr>
                          <w:r>
                            <w:rPr>
                              <w:b/>
                              <w:bCs/>
                              <w:color w:val="000000" w:themeColor="text1"/>
                              <w14:textFill>
                                <w14:solidFill>
                                  <w14:schemeClr w14:val="tx1"/>
                                </w14:solidFill>
                              </w14:textFill>
                            </w:rPr>
                            <w:fldChar w:fldCharType="begin"/>
                          </w:r>
                          <w:r>
                            <w:rPr>
                              <w:b/>
                              <w:bCs/>
                              <w:color w:val="000000" w:themeColor="text1"/>
                              <w14:textFill>
                                <w14:solidFill>
                                  <w14:schemeClr w14:val="tx1"/>
                                </w14:solidFill>
                              </w14:textFill>
                            </w:rPr>
                            <w:instrText xml:space="preserve"> PAGE  \* MERGEFORMAT </w:instrText>
                          </w:r>
                          <w:r>
                            <w:rPr>
                              <w:b/>
                              <w:bCs/>
                              <w:color w:val="000000" w:themeColor="text1"/>
                              <w14:textFill>
                                <w14:solidFill>
                                  <w14:schemeClr w14:val="tx1"/>
                                </w14:solidFill>
                              </w14:textFill>
                            </w:rPr>
                            <w:fldChar w:fldCharType="separate"/>
                          </w:r>
                          <w:r>
                            <w:rPr>
                              <w:b/>
                              <w:bCs/>
                              <w:color w:val="000000" w:themeColor="text1"/>
                              <w14:textFill>
                                <w14:solidFill>
                                  <w14:schemeClr w14:val="tx1"/>
                                </w14:solidFill>
                              </w14:textFill>
                            </w:rPr>
                            <w:t>1</w:t>
                          </w:r>
                          <w:r>
                            <w:rPr>
                              <w:b/>
                              <w:bCs/>
                              <w:color w:val="000000" w:themeColor="text1"/>
                              <w14:textFill>
                                <w14:solidFill>
                                  <w14:schemeClr w14:val="tx1"/>
                                </w14:solidFill>
                              </w14:textFill>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8"/>
                      <w:rPr>
                        <w:b/>
                        <w:bCs/>
                        <w:color w:val="000000" w:themeColor="text1"/>
                        <w14:textFill>
                          <w14:solidFill>
                            <w14:schemeClr w14:val="tx1"/>
                          </w14:solidFill>
                        </w14:textFill>
                      </w:rPr>
                    </w:pPr>
                    <w:r>
                      <w:rPr>
                        <w:b/>
                        <w:bCs/>
                        <w:color w:val="000000" w:themeColor="text1"/>
                        <w14:textFill>
                          <w14:solidFill>
                            <w14:schemeClr w14:val="tx1"/>
                          </w14:solidFill>
                        </w14:textFill>
                      </w:rPr>
                      <w:fldChar w:fldCharType="begin"/>
                    </w:r>
                    <w:r>
                      <w:rPr>
                        <w:b/>
                        <w:bCs/>
                        <w:color w:val="000000" w:themeColor="text1"/>
                        <w14:textFill>
                          <w14:solidFill>
                            <w14:schemeClr w14:val="tx1"/>
                          </w14:solidFill>
                        </w14:textFill>
                      </w:rPr>
                      <w:instrText xml:space="preserve"> PAGE  \* MERGEFORMAT </w:instrText>
                    </w:r>
                    <w:r>
                      <w:rPr>
                        <w:b/>
                        <w:bCs/>
                        <w:color w:val="000000" w:themeColor="text1"/>
                        <w14:textFill>
                          <w14:solidFill>
                            <w14:schemeClr w14:val="tx1"/>
                          </w14:solidFill>
                        </w14:textFill>
                      </w:rPr>
                      <w:fldChar w:fldCharType="separate"/>
                    </w:r>
                    <w:r>
                      <w:rPr>
                        <w:b/>
                        <w:bCs/>
                        <w:color w:val="000000" w:themeColor="text1"/>
                        <w14:textFill>
                          <w14:solidFill>
                            <w14:schemeClr w14:val="tx1"/>
                          </w14:solidFill>
                        </w14:textFill>
                      </w:rPr>
                      <w:t>1</w:t>
                    </w:r>
                    <w:r>
                      <w:rPr>
                        <w:b/>
                        <w:bCs/>
                        <w:color w:val="000000" w:themeColor="text1"/>
                        <w14:textFill>
                          <w14:solidFill>
                            <w14:schemeClr w14:val="tx1"/>
                          </w14:solidFill>
                        </w14:textFill>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269"/>
    <w:rsid w:val="0000543B"/>
    <w:rsid w:val="000223EC"/>
    <w:rsid w:val="00023577"/>
    <w:rsid w:val="000767B4"/>
    <w:rsid w:val="00082864"/>
    <w:rsid w:val="000C069D"/>
    <w:rsid w:val="000F0B4E"/>
    <w:rsid w:val="0011453A"/>
    <w:rsid w:val="001261D5"/>
    <w:rsid w:val="00142863"/>
    <w:rsid w:val="00155F17"/>
    <w:rsid w:val="0017562A"/>
    <w:rsid w:val="001A46FB"/>
    <w:rsid w:val="001B03DB"/>
    <w:rsid w:val="001C1887"/>
    <w:rsid w:val="001C604F"/>
    <w:rsid w:val="002046B4"/>
    <w:rsid w:val="0021355B"/>
    <w:rsid w:val="002231EB"/>
    <w:rsid w:val="00233770"/>
    <w:rsid w:val="00270F69"/>
    <w:rsid w:val="002B346C"/>
    <w:rsid w:val="002D506F"/>
    <w:rsid w:val="002E53D9"/>
    <w:rsid w:val="0031574D"/>
    <w:rsid w:val="00323B7E"/>
    <w:rsid w:val="00366724"/>
    <w:rsid w:val="003D7538"/>
    <w:rsid w:val="004011D7"/>
    <w:rsid w:val="00412E0A"/>
    <w:rsid w:val="0041372C"/>
    <w:rsid w:val="00417723"/>
    <w:rsid w:val="00443452"/>
    <w:rsid w:val="00472932"/>
    <w:rsid w:val="00473DDF"/>
    <w:rsid w:val="0048408C"/>
    <w:rsid w:val="004C026C"/>
    <w:rsid w:val="004C09B0"/>
    <w:rsid w:val="004C0F7E"/>
    <w:rsid w:val="004D1532"/>
    <w:rsid w:val="004D6990"/>
    <w:rsid w:val="0050386B"/>
    <w:rsid w:val="0051270D"/>
    <w:rsid w:val="00534AF6"/>
    <w:rsid w:val="00564A6E"/>
    <w:rsid w:val="00576C48"/>
    <w:rsid w:val="005A0C84"/>
    <w:rsid w:val="005C3AEE"/>
    <w:rsid w:val="005D05FA"/>
    <w:rsid w:val="005D0957"/>
    <w:rsid w:val="00627081"/>
    <w:rsid w:val="00641AEE"/>
    <w:rsid w:val="006609A0"/>
    <w:rsid w:val="006735C0"/>
    <w:rsid w:val="006F19AB"/>
    <w:rsid w:val="006F1F0F"/>
    <w:rsid w:val="006F2A61"/>
    <w:rsid w:val="0070102D"/>
    <w:rsid w:val="0071443D"/>
    <w:rsid w:val="007212BF"/>
    <w:rsid w:val="00781D76"/>
    <w:rsid w:val="00790CAC"/>
    <w:rsid w:val="00793A1D"/>
    <w:rsid w:val="007B7306"/>
    <w:rsid w:val="007C41B7"/>
    <w:rsid w:val="00815EC0"/>
    <w:rsid w:val="008202FA"/>
    <w:rsid w:val="008453FC"/>
    <w:rsid w:val="008802C0"/>
    <w:rsid w:val="008A5979"/>
    <w:rsid w:val="008B6D7F"/>
    <w:rsid w:val="008F3D9D"/>
    <w:rsid w:val="008F4D93"/>
    <w:rsid w:val="008F72CB"/>
    <w:rsid w:val="00903D58"/>
    <w:rsid w:val="00906B23"/>
    <w:rsid w:val="00931269"/>
    <w:rsid w:val="00943037"/>
    <w:rsid w:val="00944075"/>
    <w:rsid w:val="00946234"/>
    <w:rsid w:val="009522BD"/>
    <w:rsid w:val="009E53B2"/>
    <w:rsid w:val="009F4361"/>
    <w:rsid w:val="00A615F2"/>
    <w:rsid w:val="00A6799F"/>
    <w:rsid w:val="00AD26CE"/>
    <w:rsid w:val="00AE386F"/>
    <w:rsid w:val="00AF0AAE"/>
    <w:rsid w:val="00B11465"/>
    <w:rsid w:val="00B42406"/>
    <w:rsid w:val="00B53453"/>
    <w:rsid w:val="00B56458"/>
    <w:rsid w:val="00B757EA"/>
    <w:rsid w:val="00B91594"/>
    <w:rsid w:val="00B9687C"/>
    <w:rsid w:val="00BE21C6"/>
    <w:rsid w:val="00BE2DE2"/>
    <w:rsid w:val="00C018B4"/>
    <w:rsid w:val="00C0489E"/>
    <w:rsid w:val="00C07CBE"/>
    <w:rsid w:val="00C37347"/>
    <w:rsid w:val="00C64421"/>
    <w:rsid w:val="00CE129C"/>
    <w:rsid w:val="00D11E37"/>
    <w:rsid w:val="00D170EA"/>
    <w:rsid w:val="00D5532C"/>
    <w:rsid w:val="00D81321"/>
    <w:rsid w:val="00DC34D0"/>
    <w:rsid w:val="00DD3938"/>
    <w:rsid w:val="00E66932"/>
    <w:rsid w:val="00E92F7A"/>
    <w:rsid w:val="00E95786"/>
    <w:rsid w:val="00EE61EB"/>
    <w:rsid w:val="00F61420"/>
    <w:rsid w:val="00F83F8A"/>
    <w:rsid w:val="00F973C3"/>
    <w:rsid w:val="00FA07C3"/>
    <w:rsid w:val="00FD1716"/>
    <w:rsid w:val="04611584"/>
    <w:rsid w:val="05594B19"/>
    <w:rsid w:val="0773757D"/>
    <w:rsid w:val="090F6E32"/>
    <w:rsid w:val="09C92B5A"/>
    <w:rsid w:val="114255F5"/>
    <w:rsid w:val="15921B5C"/>
    <w:rsid w:val="18D228A7"/>
    <w:rsid w:val="276F5AD4"/>
    <w:rsid w:val="2A781C2E"/>
    <w:rsid w:val="2DF845CA"/>
    <w:rsid w:val="325C4A1D"/>
    <w:rsid w:val="382459C0"/>
    <w:rsid w:val="40832202"/>
    <w:rsid w:val="40D51470"/>
    <w:rsid w:val="45287982"/>
    <w:rsid w:val="465F6669"/>
    <w:rsid w:val="61E7195B"/>
    <w:rsid w:val="65371615"/>
    <w:rsid w:val="6DF62BFA"/>
    <w:rsid w:val="707A4926"/>
    <w:rsid w:val="78A2455E"/>
    <w:rsid w:val="7B02635F"/>
    <w:rsid w:val="7BA853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 w:hAnsi="仿宋" w:eastAsia="仿宋" w:cs="仿宋"/>
      <w:sz w:val="22"/>
      <w:szCs w:val="22"/>
      <w:lang w:val="zh-CN" w:eastAsia="zh-CN" w:bidi="zh-CN"/>
    </w:rPr>
  </w:style>
  <w:style w:type="paragraph" w:styleId="2">
    <w:name w:val="heading 1"/>
    <w:basedOn w:val="1"/>
    <w:next w:val="1"/>
    <w:qFormat/>
    <w:uiPriority w:val="1"/>
    <w:pPr>
      <w:spacing w:before="741"/>
      <w:ind w:left="652" w:right="949"/>
      <w:jc w:val="center"/>
      <w:outlineLvl w:val="0"/>
    </w:pPr>
    <w:rPr>
      <w:rFonts w:ascii="宋体" w:hAnsi="宋体" w:eastAsia="宋体" w:cs="宋体"/>
      <w:b/>
      <w:bCs/>
      <w:sz w:val="48"/>
      <w:szCs w:val="48"/>
    </w:rPr>
  </w:style>
  <w:style w:type="paragraph" w:styleId="3">
    <w:name w:val="heading 2"/>
    <w:basedOn w:val="1"/>
    <w:next w:val="1"/>
    <w:qFormat/>
    <w:uiPriority w:val="1"/>
    <w:pPr>
      <w:ind w:left="656" w:right="949"/>
      <w:jc w:val="center"/>
      <w:outlineLvl w:val="1"/>
    </w:pPr>
    <w:rPr>
      <w:rFonts w:ascii="宋体" w:hAnsi="宋体" w:eastAsia="宋体" w:cs="宋体"/>
      <w:b/>
      <w:bCs/>
      <w:sz w:val="44"/>
      <w:szCs w:val="44"/>
    </w:rPr>
  </w:style>
  <w:style w:type="paragraph" w:styleId="4">
    <w:name w:val="heading 3"/>
    <w:basedOn w:val="1"/>
    <w:next w:val="1"/>
    <w:qFormat/>
    <w:uiPriority w:val="1"/>
    <w:pPr>
      <w:spacing w:before="6"/>
      <w:ind w:left="760"/>
      <w:outlineLvl w:val="2"/>
    </w:pPr>
    <w:rPr>
      <w:rFonts w:ascii="楷体" w:hAnsi="楷体" w:eastAsia="楷体" w:cs="楷体"/>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1"/>
    <w:qFormat/>
    <w:uiPriority w:val="0"/>
  </w:style>
  <w:style w:type="paragraph" w:styleId="6">
    <w:name w:val="Body Text"/>
    <w:basedOn w:val="1"/>
    <w:qFormat/>
    <w:uiPriority w:val="1"/>
    <w:pPr>
      <w:spacing w:before="214"/>
      <w:ind w:left="120"/>
    </w:pPr>
    <w:rPr>
      <w:sz w:val="32"/>
      <w:szCs w:val="32"/>
    </w:rPr>
  </w:style>
  <w:style w:type="paragraph" w:styleId="7">
    <w:name w:val="toc 3"/>
    <w:basedOn w:val="1"/>
    <w:next w:val="1"/>
    <w:qFormat/>
    <w:uiPriority w:val="39"/>
    <w:pPr>
      <w:spacing w:before="70"/>
      <w:ind w:left="120"/>
    </w:pPr>
    <w:rPr>
      <w:b/>
      <w:bCs/>
      <w:i/>
    </w:rPr>
  </w:style>
  <w:style w:type="paragraph" w:styleId="8">
    <w:name w:val="footer"/>
    <w:basedOn w:val="1"/>
    <w:qFormat/>
    <w:uiPriority w:val="0"/>
    <w:pPr>
      <w:tabs>
        <w:tab w:val="center" w:pos="4153"/>
        <w:tab w:val="right" w:pos="8306"/>
      </w:tabs>
      <w:snapToGrid w:val="0"/>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0">
    <w:name w:val="toc 1"/>
    <w:basedOn w:val="1"/>
    <w:next w:val="1"/>
    <w:qFormat/>
    <w:uiPriority w:val="39"/>
    <w:pPr>
      <w:spacing w:before="70"/>
      <w:ind w:left="120"/>
    </w:pPr>
    <w:rPr>
      <w:b/>
      <w:bCs/>
      <w:sz w:val="32"/>
      <w:szCs w:val="32"/>
    </w:rPr>
  </w:style>
  <w:style w:type="paragraph" w:styleId="11">
    <w:name w:val="toc 2"/>
    <w:basedOn w:val="1"/>
    <w:next w:val="1"/>
    <w:qFormat/>
    <w:uiPriority w:val="39"/>
    <w:pPr>
      <w:spacing w:before="70"/>
      <w:ind w:left="120"/>
    </w:pPr>
    <w:rPr>
      <w:sz w:val="32"/>
      <w:szCs w:val="32"/>
    </w:rPr>
  </w:style>
  <w:style w:type="paragraph" w:styleId="12">
    <w:name w:val="annotation subject"/>
    <w:basedOn w:val="5"/>
    <w:next w:val="5"/>
    <w:link w:val="22"/>
    <w:qFormat/>
    <w:uiPriority w:val="0"/>
    <w:rPr>
      <w:b/>
      <w:bCs/>
    </w:rPr>
  </w:style>
  <w:style w:type="character" w:styleId="15">
    <w:name w:val="Hyperlink"/>
    <w:basedOn w:val="14"/>
    <w:unhideWhenUsed/>
    <w:qFormat/>
    <w:uiPriority w:val="99"/>
    <w:rPr>
      <w:color w:val="0000FF" w:themeColor="hyperlink"/>
      <w:u w:val="single"/>
      <w14:textFill>
        <w14:solidFill>
          <w14:schemeClr w14:val="hlink"/>
        </w14:solidFill>
      </w14:textFill>
    </w:rPr>
  </w:style>
  <w:style w:type="character" w:styleId="16">
    <w:name w:val="annotation reference"/>
    <w:basedOn w:val="14"/>
    <w:qFormat/>
    <w:uiPriority w:val="0"/>
    <w:rPr>
      <w:sz w:val="21"/>
      <w:szCs w:val="21"/>
    </w:rPr>
  </w:style>
  <w:style w:type="table" w:customStyle="1" w:styleId="17">
    <w:name w:val="Table Normal1"/>
    <w:semiHidden/>
    <w:unhideWhenUsed/>
    <w:qFormat/>
    <w:uiPriority w:val="2"/>
    <w:tblPr>
      <w:tblCellMar>
        <w:top w:w="0" w:type="dxa"/>
        <w:left w:w="0" w:type="dxa"/>
        <w:bottom w:w="0" w:type="dxa"/>
        <w:right w:w="0" w:type="dxa"/>
      </w:tblCellMar>
    </w:tblPr>
  </w:style>
  <w:style w:type="paragraph" w:styleId="18">
    <w:name w:val="List Paragraph"/>
    <w:basedOn w:val="1"/>
    <w:qFormat/>
    <w:uiPriority w:val="1"/>
    <w:pPr>
      <w:spacing w:before="214"/>
      <w:ind w:left="120" w:right="415" w:firstLine="636"/>
    </w:pPr>
  </w:style>
  <w:style w:type="paragraph" w:customStyle="1" w:styleId="19">
    <w:name w:val="Table Paragraph"/>
    <w:basedOn w:val="1"/>
    <w:qFormat/>
    <w:uiPriority w:val="1"/>
  </w:style>
  <w:style w:type="character" w:customStyle="1" w:styleId="20">
    <w:name w:val="fontstyle01"/>
    <w:basedOn w:val="14"/>
    <w:qFormat/>
    <w:uiPriority w:val="0"/>
    <w:rPr>
      <w:rFonts w:hint="eastAsia" w:ascii="仿宋_GB2312" w:eastAsia="仿宋_GB2312"/>
      <w:color w:val="000000"/>
      <w:sz w:val="32"/>
      <w:szCs w:val="32"/>
    </w:rPr>
  </w:style>
  <w:style w:type="character" w:customStyle="1" w:styleId="21">
    <w:name w:val="Comment Text Char"/>
    <w:basedOn w:val="14"/>
    <w:link w:val="5"/>
    <w:qFormat/>
    <w:uiPriority w:val="0"/>
    <w:rPr>
      <w:rFonts w:ascii="仿宋" w:hAnsi="仿宋" w:eastAsia="仿宋" w:cs="仿宋"/>
      <w:sz w:val="22"/>
      <w:szCs w:val="22"/>
      <w:lang w:val="zh-CN" w:bidi="zh-CN"/>
    </w:rPr>
  </w:style>
  <w:style w:type="character" w:customStyle="1" w:styleId="22">
    <w:name w:val="Comment Subject Char"/>
    <w:basedOn w:val="21"/>
    <w:link w:val="12"/>
    <w:qFormat/>
    <w:uiPriority w:val="0"/>
    <w:rPr>
      <w:rFonts w:ascii="仿宋" w:hAnsi="仿宋" w:eastAsia="仿宋" w:cs="仿宋"/>
      <w:b/>
      <w:bCs/>
      <w:sz w:val="22"/>
      <w:szCs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1906</Words>
  <Characters>10866</Characters>
  <Lines>90</Lines>
  <Paragraphs>25</Paragraphs>
  <TotalTime>2</TotalTime>
  <ScaleCrop>false</ScaleCrop>
  <LinksUpToDate>false</LinksUpToDate>
  <CharactersWithSpaces>12747</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2021-08-24T14:11:00Z</dcterms:created>
  <dc:creator>鲁海峰</dc:creator>
  <cp:lastModifiedBy>s</cp:lastModifiedBy>
  <dcterms:modified xsi:type="dcterms:W3CDTF">2022-01-05T07:48:39Z</dcterms:modified>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2021-03-09T00:00:00Z</vt:filetime>
  </property>
  <property fmtid="{D5CDD505-2E9C-101B-9397-08002B2CF9AE}" pid="3" name="Creator">
    <vt:lpwstr>WPS 文字</vt:lpwstr>
  </property>
  <property fmtid="{D5CDD505-2E9C-101B-9397-08002B2CF9AE}" pid="4" name="LastSaved">
    <vt:filetime>2021-07-10T00:00:00Z</vt:filetime>
  </property>
  <property fmtid="{D5CDD505-2E9C-101B-9397-08002B2CF9AE}" pid="5" name="KSOProductBuildVer">
    <vt:lpwstr>2052-11.8.2.10154</vt:lpwstr>
  </property>
  <property fmtid="{D5CDD505-2E9C-101B-9397-08002B2CF9AE}" pid="6" name="ICV">
    <vt:lpwstr>07E5744FEFE941FC8174CFB9836C83CA</vt:lpwstr>
  </property>
</Properties>
</file>