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643" w:firstLineChars="200"/>
        <w:jc w:val="center"/>
        <w:textAlignment w:val="baseline"/>
        <w:rPr>
          <w:b/>
          <w:sz w:val="32"/>
          <w:szCs w:val="32"/>
        </w:rPr>
      </w:pPr>
      <w:r>
        <w:rPr>
          <w:rFonts w:hint="eastAsia"/>
          <w:b/>
          <w:sz w:val="32"/>
          <w:szCs w:val="32"/>
        </w:rPr>
        <w:t xml:space="preserve"> 湖州师范学院</w:t>
      </w:r>
    </w:p>
    <w:p>
      <w:pPr>
        <w:spacing w:line="360" w:lineRule="auto"/>
        <w:ind w:firstLine="643" w:firstLineChars="200"/>
        <w:jc w:val="center"/>
        <w:textAlignment w:val="baseline"/>
        <w:rPr>
          <w:b/>
          <w:sz w:val="32"/>
          <w:szCs w:val="32"/>
        </w:rPr>
      </w:pPr>
      <w:r>
        <w:rPr>
          <w:rFonts w:hint="eastAsia"/>
          <w:b/>
          <w:sz w:val="32"/>
          <w:szCs w:val="32"/>
        </w:rPr>
        <w:t>教师教育学院“十四五”发展规划</w:t>
      </w:r>
    </w:p>
    <w:p>
      <w:pPr>
        <w:snapToGrid w:val="0"/>
        <w:spacing w:line="360" w:lineRule="auto"/>
        <w:ind w:firstLine="560" w:firstLineChars="200"/>
        <w:jc w:val="left"/>
        <w:textAlignment w:val="baseline"/>
        <w:rPr>
          <w:sz w:val="28"/>
          <w:szCs w:val="28"/>
        </w:rPr>
      </w:pPr>
    </w:p>
    <w:p>
      <w:pPr>
        <w:snapToGrid w:val="0"/>
        <w:spacing w:line="360" w:lineRule="auto"/>
        <w:ind w:firstLine="560" w:firstLineChars="200"/>
        <w:textAlignment w:val="baseline"/>
        <w:rPr>
          <w:rFonts w:hint="eastAsia" w:ascii="仿宋" w:hAnsi="仿宋" w:eastAsia="仿宋" w:cs="仿宋"/>
          <w:color w:val="0000FF"/>
          <w:kern w:val="0"/>
          <w:sz w:val="28"/>
          <w:szCs w:val="28"/>
          <w:lang w:val="en-US" w:eastAsia="zh-CN" w:bidi="ar"/>
        </w:rPr>
      </w:pPr>
      <w:r>
        <w:rPr>
          <w:rFonts w:hint="eastAsia"/>
          <w:sz w:val="28"/>
          <w:szCs w:val="28"/>
          <w:lang w:val="en-US" w:eastAsia="zh-CN"/>
        </w:rPr>
        <w:t>“十四五”时期是我国乘势而上开启全面建设社会主义现代化国家新征程、向第二个百年奋斗目标进军的第一个五年，也是学校向着建设高水平“湖州师范大学”目标迈进的关键之年，学院向“教学研究型学院”转型发展的起步之年。为促进学院各项工作持续、稳定、健康发展，结合国家、省、市教师教育发展规划、《湖州师范学院“十四五”发展规划》和学院实际，在“十三五”时期发展成就的基础上，分析存在问题，提出“十四五”时期的主要发展目标和思路举措，制订本规划。</w:t>
      </w:r>
    </w:p>
    <w:p>
      <w:pPr>
        <w:snapToGrid w:val="0"/>
        <w:spacing w:line="360" w:lineRule="auto"/>
        <w:ind w:firstLine="422" w:firstLineChars="150"/>
        <w:textAlignment w:val="baseline"/>
        <w:rPr>
          <w:rFonts w:hint="eastAsia" w:eastAsiaTheme="minorEastAsia"/>
          <w:b/>
          <w:sz w:val="28"/>
          <w:szCs w:val="28"/>
          <w:lang w:eastAsia="zh-CN"/>
        </w:rPr>
      </w:pPr>
      <w:r>
        <w:rPr>
          <w:rFonts w:hint="eastAsia"/>
          <w:b/>
          <w:color w:val="auto"/>
          <w:sz w:val="28"/>
          <w:szCs w:val="28"/>
        </w:rPr>
        <w:t>一、指导思想与发展思路</w:t>
      </w:r>
    </w:p>
    <w:p>
      <w:pPr>
        <w:snapToGrid w:val="0"/>
        <w:spacing w:line="360" w:lineRule="auto"/>
        <w:ind w:firstLine="562" w:firstLineChars="200"/>
        <w:textAlignment w:val="baseline"/>
        <w:rPr>
          <w:b/>
          <w:bCs/>
          <w:sz w:val="28"/>
          <w:szCs w:val="28"/>
        </w:rPr>
      </w:pPr>
      <w:r>
        <w:rPr>
          <w:rFonts w:hint="eastAsia"/>
          <w:b/>
          <w:bCs/>
          <w:sz w:val="28"/>
          <w:szCs w:val="28"/>
        </w:rPr>
        <w:t>（一）指导思想</w:t>
      </w:r>
    </w:p>
    <w:p>
      <w:pPr>
        <w:snapToGrid w:val="0"/>
        <w:spacing w:line="360" w:lineRule="auto"/>
        <w:ind w:firstLine="560" w:firstLineChars="200"/>
        <w:textAlignment w:val="baseline"/>
        <w:rPr>
          <w:rFonts w:hint="eastAsia"/>
          <w:sz w:val="28"/>
          <w:szCs w:val="28"/>
        </w:rPr>
      </w:pPr>
      <w:r>
        <w:rPr>
          <w:rFonts w:hint="eastAsia"/>
          <w:sz w:val="28"/>
          <w:szCs w:val="28"/>
        </w:rPr>
        <w:t>坚持以习近平新时代中国特色社会主义思想为指导，全面贯彻党的十九大精神以及国家和省市教育大会精神，深入贯彻学校第四次党代会和学校“十四五”发展规划精神，落实立德树人根本任务。坚持“因地制宜、体现特色、服务地方”</w:t>
      </w:r>
      <w:r>
        <w:rPr>
          <w:rFonts w:hint="eastAsia"/>
          <w:sz w:val="28"/>
          <w:szCs w:val="28"/>
          <w:lang w:val="en-US" w:eastAsia="zh-CN"/>
        </w:rPr>
        <w:t>的</w:t>
      </w:r>
      <w:r>
        <w:rPr>
          <w:rFonts w:hint="eastAsia"/>
          <w:sz w:val="28"/>
          <w:szCs w:val="28"/>
        </w:rPr>
        <w:t>办学方针，坚定“学生为本、学者为重、学术为要、学科为基”办学理念，聚焦“3918”战略体系，</w:t>
      </w:r>
      <w:r>
        <w:rPr>
          <w:rFonts w:hint="eastAsia"/>
          <w:sz w:val="28"/>
          <w:szCs w:val="28"/>
          <w:lang w:val="en-US" w:eastAsia="zh-CN"/>
        </w:rPr>
        <w:t>加强党的全面领导，深化新时代教育评价改革，以立德树人为根本，以“博士点培育”突破为目标，以学科建设为龙头，以队伍建设为关键，以人才培养为中心、以科研创新为支撑，以治理改革为牵引，全面提升办学内涵，加快推进国内有影响、浙江有地位的教学研究型学院建设，为建设高水平“湖州师范大学”、浙江建设社会主义现代化先行省、共同富裕示范区做出应有贡献。</w:t>
      </w:r>
    </w:p>
    <w:p>
      <w:pPr>
        <w:snapToGrid w:val="0"/>
        <w:spacing w:line="360" w:lineRule="auto"/>
        <w:ind w:firstLine="565" w:firstLineChars="201"/>
        <w:textAlignment w:val="baseline"/>
        <w:rPr>
          <w:b/>
          <w:bCs/>
          <w:sz w:val="28"/>
          <w:szCs w:val="28"/>
        </w:rPr>
      </w:pPr>
      <w:r>
        <w:rPr>
          <w:rFonts w:hint="eastAsia"/>
          <w:b/>
          <w:bCs/>
          <w:sz w:val="28"/>
          <w:szCs w:val="28"/>
        </w:rPr>
        <w:t>（二）发展思路</w:t>
      </w:r>
    </w:p>
    <w:p>
      <w:pPr>
        <w:snapToGrid w:val="0"/>
        <w:spacing w:line="360" w:lineRule="auto"/>
        <w:ind w:firstLine="562" w:firstLineChars="201"/>
        <w:textAlignment w:val="baseline"/>
        <w:rPr>
          <w:sz w:val="28"/>
          <w:szCs w:val="28"/>
        </w:rPr>
      </w:pPr>
      <w:r>
        <w:rPr>
          <w:rFonts w:hint="eastAsia"/>
          <w:sz w:val="28"/>
          <w:szCs w:val="28"/>
        </w:rPr>
        <w:t>未来五年，学院坚持走内涵发展、融合发展、赶超发展的革新之路，狠抓“三个重点”：以创建高水平“湖州师范大学”目标为重点，不断加强教学改革；围绕由“教学型”学院到“教学研究型”学院转型为契机，不断提升科研水平；以服务基础教育，培养卓越人才为己任，不断深化融合发展，推进区域协调发展。</w:t>
      </w:r>
    </w:p>
    <w:p>
      <w:pPr>
        <w:snapToGrid w:val="0"/>
        <w:spacing w:line="360" w:lineRule="auto"/>
        <w:ind w:firstLine="562" w:firstLineChars="201"/>
        <w:textAlignment w:val="baseline"/>
        <w:rPr>
          <w:sz w:val="28"/>
          <w:szCs w:val="28"/>
        </w:rPr>
      </w:pPr>
      <w:r>
        <w:rPr>
          <w:rFonts w:hint="eastAsia"/>
          <w:sz w:val="28"/>
          <w:szCs w:val="28"/>
          <w:lang w:eastAsia="zh-CN"/>
        </w:rPr>
        <w:t>“</w:t>
      </w:r>
      <w:r>
        <w:rPr>
          <w:rFonts w:hint="eastAsia"/>
          <w:sz w:val="28"/>
          <w:szCs w:val="28"/>
        </w:rPr>
        <w:t>十四五</w:t>
      </w:r>
      <w:r>
        <w:rPr>
          <w:rFonts w:hint="eastAsia"/>
          <w:sz w:val="28"/>
          <w:szCs w:val="28"/>
          <w:lang w:eastAsia="zh-CN"/>
        </w:rPr>
        <w:t>”</w:t>
      </w:r>
      <w:r>
        <w:rPr>
          <w:rFonts w:hint="eastAsia"/>
          <w:sz w:val="28"/>
          <w:szCs w:val="28"/>
        </w:rPr>
        <w:t>时期，学院</w:t>
      </w:r>
      <w:r>
        <w:rPr>
          <w:rFonts w:hint="eastAsia"/>
          <w:sz w:val="28"/>
          <w:szCs w:val="28"/>
          <w:lang w:val="en-US" w:eastAsia="zh-CN"/>
        </w:rPr>
        <w:t>将全面实施</w:t>
      </w:r>
      <w:r>
        <w:rPr>
          <w:rFonts w:hint="eastAsia"/>
          <w:sz w:val="28"/>
          <w:szCs w:val="28"/>
          <w:lang w:eastAsia="zh-CN"/>
        </w:rPr>
        <w:t>“</w:t>
      </w:r>
      <w:r>
        <w:rPr>
          <w:rFonts w:hint="eastAsia"/>
          <w:sz w:val="28"/>
          <w:szCs w:val="28"/>
          <w:lang w:val="en-US" w:eastAsia="zh-CN"/>
        </w:rPr>
        <w:t>红色领航</w:t>
      </w:r>
      <w:r>
        <w:rPr>
          <w:rFonts w:hint="eastAsia"/>
          <w:sz w:val="28"/>
          <w:szCs w:val="28"/>
          <w:lang w:eastAsia="zh-CN"/>
        </w:rPr>
        <w:t>”</w:t>
      </w:r>
      <w:r>
        <w:rPr>
          <w:rFonts w:hint="eastAsia"/>
          <w:sz w:val="28"/>
          <w:szCs w:val="28"/>
          <w:lang w:val="en-US" w:eastAsia="zh-CN"/>
        </w:rPr>
        <w:t>工程</w:t>
      </w:r>
      <w:r>
        <w:rPr>
          <w:rFonts w:hint="eastAsia"/>
          <w:sz w:val="28"/>
          <w:szCs w:val="28"/>
        </w:rPr>
        <w:t>，以卓越教师培养为中心任务，以教师教育一体化发展为工作思路，创建“学院—系部—专业”三级管理体制，全面提升学院治理体系和治理能力现代化。努力创建“城市与大学命运共同体”、“城市与乡村教育共同体”、“教师与学生学术共同体”，探索出一条有特色的高质量发展之路。</w:t>
      </w:r>
    </w:p>
    <w:p>
      <w:pPr>
        <w:snapToGrid w:val="0"/>
        <w:spacing w:line="360" w:lineRule="auto"/>
        <w:ind w:firstLine="422" w:firstLineChars="150"/>
        <w:textAlignment w:val="baseline"/>
        <w:rPr>
          <w:rFonts w:hint="eastAsia" w:eastAsiaTheme="minorEastAsia"/>
          <w:b/>
          <w:sz w:val="28"/>
          <w:szCs w:val="28"/>
          <w:lang w:eastAsia="zh-CN"/>
        </w:rPr>
      </w:pPr>
      <w:r>
        <w:rPr>
          <w:rFonts w:hint="eastAsia"/>
          <w:b/>
          <w:sz w:val="28"/>
          <w:szCs w:val="28"/>
        </w:rPr>
        <w:t>二、现实基础与存在问题</w:t>
      </w:r>
    </w:p>
    <w:p>
      <w:pPr>
        <w:snapToGrid w:val="0"/>
        <w:spacing w:line="360" w:lineRule="auto"/>
        <w:ind w:firstLine="422" w:firstLineChars="150"/>
        <w:textAlignment w:val="baseline"/>
        <w:rPr>
          <w:b/>
          <w:sz w:val="28"/>
          <w:szCs w:val="28"/>
        </w:rPr>
      </w:pPr>
      <w:r>
        <w:rPr>
          <w:rFonts w:hint="eastAsia"/>
          <w:b/>
          <w:sz w:val="28"/>
          <w:szCs w:val="28"/>
        </w:rPr>
        <w:t>（一）现实基础</w:t>
      </w:r>
    </w:p>
    <w:p>
      <w:pPr>
        <w:snapToGrid w:val="0"/>
        <w:spacing w:line="360" w:lineRule="auto"/>
        <w:ind w:firstLine="560" w:firstLineChars="200"/>
        <w:jc w:val="left"/>
        <w:textAlignment w:val="baseline"/>
        <w:rPr>
          <w:sz w:val="28"/>
          <w:szCs w:val="28"/>
        </w:rPr>
      </w:pPr>
      <w:r>
        <w:rPr>
          <w:rFonts w:hint="eastAsia"/>
          <w:sz w:val="28"/>
          <w:szCs w:val="28"/>
        </w:rPr>
        <w:t>2002年改系建院以来，学院坚持以教育学学科为主导，多学科共同发展为目标。当前，学院形成以全日制本科</w:t>
      </w:r>
      <w:r>
        <w:rPr>
          <w:rFonts w:hint="eastAsia"/>
          <w:sz w:val="28"/>
          <w:szCs w:val="28"/>
          <w:lang w:val="en-US" w:eastAsia="zh-CN"/>
        </w:rPr>
        <w:t>教育和硕士研究生</w:t>
      </w:r>
      <w:r>
        <w:rPr>
          <w:rFonts w:hint="eastAsia"/>
          <w:sz w:val="28"/>
          <w:szCs w:val="28"/>
        </w:rPr>
        <w:t>教育为</w:t>
      </w:r>
      <w:r>
        <w:rPr>
          <w:rFonts w:hint="eastAsia"/>
          <w:sz w:val="28"/>
          <w:szCs w:val="28"/>
          <w:lang w:val="en-US" w:eastAsia="zh-CN"/>
        </w:rPr>
        <w:t>重点</w:t>
      </w:r>
      <w:r>
        <w:rPr>
          <w:rFonts w:hint="eastAsia"/>
          <w:sz w:val="28"/>
          <w:szCs w:val="28"/>
        </w:rPr>
        <w:t>，兼顾职后教育</w:t>
      </w:r>
      <w:r>
        <w:rPr>
          <w:rFonts w:hint="eastAsia"/>
          <w:sz w:val="28"/>
          <w:szCs w:val="28"/>
          <w:lang w:val="en-US" w:eastAsia="zh-CN"/>
        </w:rPr>
        <w:t>和服务基础教育</w:t>
      </w:r>
      <w:r>
        <w:rPr>
          <w:rFonts w:hint="eastAsia"/>
          <w:sz w:val="28"/>
          <w:szCs w:val="28"/>
        </w:rPr>
        <w:t>的办学格局。“十三五”以来，学院在人才培养、师资队伍、科学研究、学科专业建设、服务地方等方面</w:t>
      </w:r>
      <w:r>
        <w:rPr>
          <w:rFonts w:hint="eastAsia"/>
          <w:sz w:val="28"/>
          <w:szCs w:val="28"/>
          <w:lang w:val="en-US" w:eastAsia="zh-CN"/>
        </w:rPr>
        <w:t>取得</w:t>
      </w:r>
      <w:r>
        <w:rPr>
          <w:rFonts w:hint="eastAsia"/>
          <w:sz w:val="28"/>
          <w:szCs w:val="28"/>
        </w:rPr>
        <w:t>显著成绩。</w:t>
      </w:r>
    </w:p>
    <w:p>
      <w:pPr>
        <w:snapToGrid w:val="0"/>
        <w:spacing w:line="360" w:lineRule="auto"/>
        <w:ind w:firstLine="562" w:firstLineChars="200"/>
        <w:jc w:val="left"/>
        <w:textAlignment w:val="baseline"/>
        <w:rPr>
          <w:rFonts w:hint="default" w:eastAsiaTheme="minorEastAsia"/>
          <w:b/>
          <w:bCs/>
          <w:sz w:val="28"/>
          <w:szCs w:val="28"/>
          <w:lang w:val="en-US" w:eastAsia="zh-CN"/>
        </w:rPr>
      </w:pPr>
      <w:r>
        <w:rPr>
          <w:rFonts w:hint="eastAsia"/>
          <w:b/>
          <w:bCs/>
          <w:sz w:val="28"/>
          <w:szCs w:val="28"/>
        </w:rPr>
        <w:t>1.</w:t>
      </w:r>
      <w:r>
        <w:rPr>
          <w:rFonts w:hint="eastAsia"/>
          <w:b/>
          <w:bCs/>
          <w:sz w:val="28"/>
          <w:szCs w:val="28"/>
          <w:lang w:val="en-US" w:eastAsia="zh-CN"/>
        </w:rPr>
        <w:t>办学规模持续扩大</w:t>
      </w:r>
    </w:p>
    <w:p>
      <w:pPr>
        <w:snapToGrid w:val="0"/>
        <w:spacing w:line="360" w:lineRule="auto"/>
        <w:ind w:firstLine="560"/>
        <w:jc w:val="left"/>
        <w:textAlignment w:val="baseline"/>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目前，学院下设小学教育系、学前教育系、教育技术学系、应用心理学系</w:t>
      </w:r>
      <w:r>
        <w:rPr>
          <w:rFonts w:hint="eastAsia"/>
          <w:color w:val="000000" w:themeColor="text1"/>
          <w:sz w:val="28"/>
          <w:szCs w:val="28"/>
          <w:lang w:val="en-US" w:eastAsia="zh-CN"/>
          <w14:textFill>
            <w14:solidFill>
              <w14:schemeClr w14:val="tx1"/>
            </w14:solidFill>
          </w14:textFill>
        </w:rPr>
        <w:t>四个系，建有教师教育实验教学中心、师范生教学技能训导中心和3</w:t>
      </w:r>
      <w:r>
        <w:rPr>
          <w:rFonts w:hint="eastAsia"/>
          <w:color w:val="000000" w:themeColor="text1"/>
          <w:sz w:val="28"/>
          <w:szCs w:val="28"/>
          <w14:textFill>
            <w14:solidFill>
              <w14:schemeClr w14:val="tx1"/>
            </w14:solidFill>
          </w14:textFill>
        </w:rPr>
        <w:t>个</w:t>
      </w:r>
      <w:r>
        <w:rPr>
          <w:rFonts w:hint="eastAsia"/>
          <w:color w:val="000000" w:themeColor="text1"/>
          <w:sz w:val="28"/>
          <w:szCs w:val="28"/>
          <w:lang w:val="en-US" w:eastAsia="zh-CN"/>
          <w14:textFill>
            <w14:solidFill>
              <w14:schemeClr w14:val="tx1"/>
            </w14:solidFill>
          </w14:textFill>
        </w:rPr>
        <w:t>学术</w:t>
      </w:r>
      <w:r>
        <w:rPr>
          <w:rFonts w:hint="eastAsia"/>
          <w:color w:val="000000" w:themeColor="text1"/>
          <w:sz w:val="28"/>
          <w:szCs w:val="28"/>
          <w14:textFill>
            <w14:solidFill>
              <w14:schemeClr w14:val="tx1"/>
            </w14:solidFill>
          </w14:textFill>
        </w:rPr>
        <w:t>研究中心。</w:t>
      </w:r>
    </w:p>
    <w:p>
      <w:pPr>
        <w:snapToGrid w:val="0"/>
        <w:spacing w:line="360" w:lineRule="auto"/>
        <w:ind w:firstLine="560" w:firstLineChars="200"/>
        <w:jc w:val="left"/>
        <w:textAlignment w:val="baseline"/>
        <w:rPr>
          <w:rFonts w:hint="eastAsia"/>
          <w:sz w:val="28"/>
          <w:szCs w:val="28"/>
        </w:rPr>
      </w:pPr>
      <w:r>
        <w:rPr>
          <w:rFonts w:hint="default" w:ascii="Calibri" w:hAnsi="Calibri" w:cs="Calibri"/>
          <w:sz w:val="28"/>
          <w:szCs w:val="28"/>
        </w:rPr>
        <w:t>①</w:t>
      </w:r>
      <w:r>
        <w:rPr>
          <w:rFonts w:hint="eastAsia"/>
          <w:sz w:val="28"/>
          <w:szCs w:val="28"/>
        </w:rPr>
        <w:t>学院2016年至202</w:t>
      </w:r>
      <w:r>
        <w:rPr>
          <w:rFonts w:hint="eastAsia"/>
          <w:sz w:val="28"/>
          <w:szCs w:val="28"/>
          <w:lang w:val="en-US" w:eastAsia="zh-CN"/>
        </w:rPr>
        <w:t>0</w:t>
      </w:r>
      <w:r>
        <w:rPr>
          <w:rFonts w:hint="eastAsia"/>
          <w:sz w:val="28"/>
          <w:szCs w:val="28"/>
        </w:rPr>
        <w:t>年本专科招生总人数</w:t>
      </w:r>
      <w:r>
        <w:rPr>
          <w:rFonts w:hint="eastAsia"/>
          <w:sz w:val="28"/>
          <w:szCs w:val="28"/>
          <w:lang w:val="en-US" w:eastAsia="zh-CN"/>
        </w:rPr>
        <w:t>1955</w:t>
      </w:r>
      <w:r>
        <w:rPr>
          <w:rFonts w:hint="eastAsia"/>
          <w:sz w:val="28"/>
          <w:szCs w:val="28"/>
        </w:rPr>
        <w:t>人</w:t>
      </w:r>
      <w:r>
        <w:rPr>
          <w:rFonts w:hint="eastAsia"/>
          <w:sz w:val="28"/>
          <w:szCs w:val="28"/>
          <w:lang w:eastAsia="zh-CN"/>
        </w:rPr>
        <w:t>，</w:t>
      </w:r>
      <w:r>
        <w:rPr>
          <w:rFonts w:hint="eastAsia"/>
          <w:sz w:val="28"/>
          <w:szCs w:val="28"/>
          <w:lang w:val="en-US" w:eastAsia="zh-CN"/>
        </w:rPr>
        <w:t>具体见下表</w:t>
      </w:r>
      <w:r>
        <w:rPr>
          <w:rFonts w:hint="eastAsia"/>
          <w:sz w:val="28"/>
          <w:szCs w:val="28"/>
        </w:rPr>
        <w:t>。</w:t>
      </w:r>
    </w:p>
    <w:tbl>
      <w:tblPr>
        <w:tblStyle w:val="9"/>
        <w:tblpPr w:leftFromText="180" w:rightFromText="180" w:vertAnchor="text" w:horzAnchor="page" w:tblpX="1635" w:tblpY="4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5"/>
        <w:gridCol w:w="1454"/>
        <w:gridCol w:w="1274"/>
        <w:gridCol w:w="1315"/>
        <w:gridCol w:w="1274"/>
        <w:gridCol w:w="1442"/>
        <w:gridCol w:w="1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1335" w:type="dxa"/>
          </w:tcPr>
          <w:p>
            <w:pPr>
              <w:snapToGrid w:val="0"/>
              <w:spacing w:line="360" w:lineRule="auto"/>
              <w:ind w:firstLine="420" w:firstLineChars="200"/>
              <w:jc w:val="left"/>
              <w:textAlignment w:val="baseline"/>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年份</w:t>
            </w:r>
          </w:p>
        </w:tc>
        <w:tc>
          <w:tcPr>
            <w:tcW w:w="1454" w:type="dxa"/>
          </w:tcPr>
          <w:p>
            <w:pPr>
              <w:snapToGrid w:val="0"/>
              <w:spacing w:line="360" w:lineRule="auto"/>
              <w:jc w:val="left"/>
              <w:textAlignment w:val="baseline"/>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2016年</w:t>
            </w:r>
          </w:p>
        </w:tc>
        <w:tc>
          <w:tcPr>
            <w:tcW w:w="1274" w:type="dxa"/>
          </w:tcPr>
          <w:p>
            <w:pPr>
              <w:snapToGrid w:val="0"/>
              <w:spacing w:line="360" w:lineRule="auto"/>
              <w:jc w:val="left"/>
              <w:textAlignment w:val="baseline"/>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2017年</w:t>
            </w:r>
          </w:p>
        </w:tc>
        <w:tc>
          <w:tcPr>
            <w:tcW w:w="1315" w:type="dxa"/>
          </w:tcPr>
          <w:p>
            <w:pPr>
              <w:snapToGrid w:val="0"/>
              <w:spacing w:line="360" w:lineRule="auto"/>
              <w:jc w:val="left"/>
              <w:textAlignment w:val="baseline"/>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2018年</w:t>
            </w:r>
          </w:p>
        </w:tc>
        <w:tc>
          <w:tcPr>
            <w:tcW w:w="1274" w:type="dxa"/>
          </w:tcPr>
          <w:p>
            <w:pPr>
              <w:snapToGrid w:val="0"/>
              <w:spacing w:line="360" w:lineRule="auto"/>
              <w:jc w:val="left"/>
              <w:textAlignment w:val="baseline"/>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2019年</w:t>
            </w:r>
          </w:p>
        </w:tc>
        <w:tc>
          <w:tcPr>
            <w:tcW w:w="1442" w:type="dxa"/>
          </w:tcPr>
          <w:p>
            <w:pPr>
              <w:snapToGrid w:val="0"/>
              <w:spacing w:line="360" w:lineRule="auto"/>
              <w:jc w:val="left"/>
              <w:textAlignment w:val="baseline"/>
              <w:rPr>
                <w:rFonts w:ascii="Times New Roman" w:hAnsi="Times New Roman" w:eastAsia="宋体" w:cs="Times New Roman"/>
                <w:szCs w:val="21"/>
              </w:rPr>
            </w:pPr>
            <w:r>
              <w:rPr>
                <w:rFonts w:ascii="Times New Roman" w:hAnsi="Times New Roman" w:eastAsia="宋体" w:cs="Times New Roman"/>
                <w:szCs w:val="21"/>
              </w:rPr>
              <w:t>2020年</w:t>
            </w:r>
          </w:p>
        </w:tc>
        <w:tc>
          <w:tcPr>
            <w:tcW w:w="1114" w:type="dxa"/>
          </w:tcPr>
          <w:p>
            <w:pPr>
              <w:snapToGrid w:val="0"/>
              <w:spacing w:line="360" w:lineRule="auto"/>
              <w:jc w:val="left"/>
              <w:textAlignment w:val="baseline"/>
              <w:rPr>
                <w:rFonts w:hint="eastAsia" w:ascii="Times New Roman" w:hAnsi="Times New Roman" w:eastAsia="宋体" w:cs="Times New Roman"/>
                <w:szCs w:val="21"/>
                <w:lang w:eastAsia="zh-CN"/>
              </w:rPr>
            </w:pPr>
            <w:r>
              <w:rPr>
                <w:rFonts w:hint="eastAsia" w:ascii="Times New Roman" w:hAnsi="Times New Roman" w:eastAsia="宋体" w:cs="Times New Roman"/>
                <w:szCs w:val="21"/>
                <w:lang w:val="en-US" w:eastAsia="zh-CN"/>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5" w:type="dxa"/>
            <w:vAlign w:val="top"/>
          </w:tcPr>
          <w:p>
            <w:pPr>
              <w:snapToGrid w:val="0"/>
              <w:spacing w:line="360" w:lineRule="auto"/>
              <w:jc w:val="left"/>
              <w:textAlignment w:val="baseline"/>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本科生数</w:t>
            </w:r>
          </w:p>
        </w:tc>
        <w:tc>
          <w:tcPr>
            <w:tcW w:w="1454" w:type="dxa"/>
            <w:vAlign w:val="top"/>
          </w:tcPr>
          <w:p>
            <w:pPr>
              <w:snapToGrid w:val="0"/>
              <w:spacing w:line="360" w:lineRule="auto"/>
              <w:jc w:val="left"/>
              <w:textAlignment w:val="baseline"/>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284</w:t>
            </w:r>
          </w:p>
        </w:tc>
        <w:tc>
          <w:tcPr>
            <w:tcW w:w="1274" w:type="dxa"/>
            <w:vAlign w:val="top"/>
          </w:tcPr>
          <w:p>
            <w:pPr>
              <w:snapToGrid w:val="0"/>
              <w:spacing w:line="360" w:lineRule="auto"/>
              <w:jc w:val="left"/>
              <w:textAlignment w:val="baseline"/>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324</w:t>
            </w:r>
          </w:p>
        </w:tc>
        <w:tc>
          <w:tcPr>
            <w:tcW w:w="1315" w:type="dxa"/>
            <w:vAlign w:val="top"/>
          </w:tcPr>
          <w:p>
            <w:pPr>
              <w:snapToGrid w:val="0"/>
              <w:spacing w:line="360" w:lineRule="auto"/>
              <w:jc w:val="left"/>
              <w:textAlignment w:val="baseline"/>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329</w:t>
            </w:r>
          </w:p>
        </w:tc>
        <w:tc>
          <w:tcPr>
            <w:tcW w:w="1274" w:type="dxa"/>
            <w:vAlign w:val="top"/>
          </w:tcPr>
          <w:p>
            <w:pPr>
              <w:snapToGrid w:val="0"/>
              <w:spacing w:line="360" w:lineRule="auto"/>
              <w:jc w:val="left"/>
              <w:textAlignment w:val="baseline"/>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313</w:t>
            </w:r>
          </w:p>
        </w:tc>
        <w:tc>
          <w:tcPr>
            <w:tcW w:w="1442" w:type="dxa"/>
            <w:vAlign w:val="top"/>
          </w:tcPr>
          <w:p>
            <w:pPr>
              <w:snapToGrid w:val="0"/>
              <w:spacing w:line="360" w:lineRule="auto"/>
              <w:jc w:val="left"/>
              <w:textAlignment w:val="baseline"/>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344</w:t>
            </w:r>
          </w:p>
        </w:tc>
        <w:tc>
          <w:tcPr>
            <w:tcW w:w="1114" w:type="dxa"/>
            <w:vAlign w:val="top"/>
          </w:tcPr>
          <w:p>
            <w:pPr>
              <w:snapToGrid w:val="0"/>
              <w:spacing w:line="360" w:lineRule="auto"/>
              <w:jc w:val="left"/>
              <w:textAlignment w:val="baseline"/>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1594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5" w:type="dxa"/>
            <w:vAlign w:val="top"/>
          </w:tcPr>
          <w:p>
            <w:pPr>
              <w:snapToGrid w:val="0"/>
              <w:spacing w:line="360" w:lineRule="auto"/>
              <w:jc w:val="left"/>
              <w:textAlignment w:val="baseline"/>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专科生数</w:t>
            </w:r>
          </w:p>
        </w:tc>
        <w:tc>
          <w:tcPr>
            <w:tcW w:w="1454" w:type="dxa"/>
            <w:vAlign w:val="top"/>
          </w:tcPr>
          <w:p>
            <w:pPr>
              <w:snapToGrid w:val="0"/>
              <w:spacing w:line="360" w:lineRule="auto"/>
              <w:jc w:val="left"/>
              <w:textAlignment w:val="baseline"/>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0</w:t>
            </w:r>
          </w:p>
        </w:tc>
        <w:tc>
          <w:tcPr>
            <w:tcW w:w="1274" w:type="dxa"/>
            <w:vAlign w:val="top"/>
          </w:tcPr>
          <w:p>
            <w:pPr>
              <w:snapToGrid w:val="0"/>
              <w:spacing w:line="360" w:lineRule="auto"/>
              <w:jc w:val="left"/>
              <w:textAlignment w:val="baseline"/>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92</w:t>
            </w:r>
          </w:p>
        </w:tc>
        <w:tc>
          <w:tcPr>
            <w:tcW w:w="1315" w:type="dxa"/>
            <w:vAlign w:val="top"/>
          </w:tcPr>
          <w:p>
            <w:pPr>
              <w:snapToGrid w:val="0"/>
              <w:spacing w:line="360" w:lineRule="auto"/>
              <w:jc w:val="left"/>
              <w:textAlignment w:val="baseline"/>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51</w:t>
            </w:r>
          </w:p>
        </w:tc>
        <w:tc>
          <w:tcPr>
            <w:tcW w:w="1274" w:type="dxa"/>
            <w:vAlign w:val="top"/>
          </w:tcPr>
          <w:p>
            <w:pPr>
              <w:snapToGrid w:val="0"/>
              <w:spacing w:line="360" w:lineRule="auto"/>
              <w:jc w:val="left"/>
              <w:textAlignment w:val="baseline"/>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150</w:t>
            </w:r>
          </w:p>
        </w:tc>
        <w:tc>
          <w:tcPr>
            <w:tcW w:w="1442" w:type="dxa"/>
            <w:vAlign w:val="top"/>
          </w:tcPr>
          <w:p>
            <w:pPr>
              <w:snapToGrid w:val="0"/>
              <w:spacing w:line="360" w:lineRule="auto"/>
              <w:jc w:val="left"/>
              <w:textAlignment w:val="baseline"/>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68</w:t>
            </w:r>
          </w:p>
        </w:tc>
        <w:tc>
          <w:tcPr>
            <w:tcW w:w="1114" w:type="dxa"/>
            <w:vAlign w:val="top"/>
          </w:tcPr>
          <w:p>
            <w:pPr>
              <w:snapToGrid w:val="0"/>
              <w:spacing w:line="360" w:lineRule="auto"/>
              <w:jc w:val="left"/>
              <w:textAlignment w:val="baseline"/>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5" w:type="dxa"/>
            <w:vAlign w:val="top"/>
          </w:tcPr>
          <w:p>
            <w:pPr>
              <w:snapToGrid w:val="0"/>
              <w:spacing w:line="360" w:lineRule="auto"/>
              <w:jc w:val="left"/>
              <w:textAlignment w:val="baseline"/>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招生总人数</w:t>
            </w:r>
          </w:p>
        </w:tc>
        <w:tc>
          <w:tcPr>
            <w:tcW w:w="1454" w:type="dxa"/>
            <w:vAlign w:val="top"/>
          </w:tcPr>
          <w:p>
            <w:pPr>
              <w:snapToGrid w:val="0"/>
              <w:spacing w:line="360" w:lineRule="auto"/>
              <w:jc w:val="left"/>
              <w:textAlignment w:val="baseline"/>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284</w:t>
            </w:r>
          </w:p>
        </w:tc>
        <w:tc>
          <w:tcPr>
            <w:tcW w:w="1274" w:type="dxa"/>
            <w:vAlign w:val="top"/>
          </w:tcPr>
          <w:p>
            <w:pPr>
              <w:snapToGrid w:val="0"/>
              <w:spacing w:line="360" w:lineRule="auto"/>
              <w:jc w:val="left"/>
              <w:textAlignment w:val="baseline"/>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416</w:t>
            </w:r>
          </w:p>
        </w:tc>
        <w:tc>
          <w:tcPr>
            <w:tcW w:w="1315" w:type="dxa"/>
            <w:vAlign w:val="top"/>
          </w:tcPr>
          <w:p>
            <w:pPr>
              <w:snapToGrid w:val="0"/>
              <w:spacing w:line="360" w:lineRule="auto"/>
              <w:jc w:val="left"/>
              <w:textAlignment w:val="baseline"/>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380</w:t>
            </w:r>
          </w:p>
        </w:tc>
        <w:tc>
          <w:tcPr>
            <w:tcW w:w="1274" w:type="dxa"/>
            <w:vAlign w:val="top"/>
          </w:tcPr>
          <w:p>
            <w:pPr>
              <w:snapToGrid w:val="0"/>
              <w:spacing w:line="360" w:lineRule="auto"/>
              <w:jc w:val="left"/>
              <w:textAlignment w:val="baseline"/>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463</w:t>
            </w:r>
          </w:p>
        </w:tc>
        <w:tc>
          <w:tcPr>
            <w:tcW w:w="1442" w:type="dxa"/>
            <w:vAlign w:val="top"/>
          </w:tcPr>
          <w:p>
            <w:pPr>
              <w:snapToGrid w:val="0"/>
              <w:spacing w:line="360" w:lineRule="auto"/>
              <w:jc w:val="left"/>
              <w:textAlignment w:val="baseline"/>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412</w:t>
            </w:r>
          </w:p>
        </w:tc>
        <w:tc>
          <w:tcPr>
            <w:tcW w:w="1114" w:type="dxa"/>
            <w:vAlign w:val="top"/>
          </w:tcPr>
          <w:p>
            <w:pPr>
              <w:snapToGrid w:val="0"/>
              <w:spacing w:line="360" w:lineRule="auto"/>
              <w:jc w:val="left"/>
              <w:textAlignment w:val="baseline"/>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1955</w:t>
            </w:r>
          </w:p>
        </w:tc>
      </w:tr>
    </w:tbl>
    <w:p>
      <w:pPr>
        <w:snapToGrid w:val="0"/>
        <w:spacing w:line="360" w:lineRule="auto"/>
        <w:jc w:val="left"/>
        <w:textAlignment w:val="baseline"/>
        <w:rPr>
          <w:rFonts w:hint="default" w:eastAsiaTheme="minorEastAsia"/>
          <w:sz w:val="28"/>
          <w:szCs w:val="28"/>
          <w:lang w:val="en-US" w:eastAsia="zh-CN"/>
        </w:rPr>
      </w:pPr>
      <w:r>
        <w:rPr>
          <w:rFonts w:hint="eastAsia"/>
          <w:sz w:val="28"/>
          <w:szCs w:val="28"/>
          <w:lang w:val="en-US" w:eastAsia="zh-CN"/>
        </w:rPr>
        <w:t xml:space="preserve">    从上表可看出</w:t>
      </w:r>
      <w:r>
        <w:rPr>
          <w:rFonts w:hint="eastAsia"/>
          <w:sz w:val="28"/>
          <w:szCs w:val="28"/>
        </w:rPr>
        <w:t>，2016年至202</w:t>
      </w:r>
      <w:r>
        <w:rPr>
          <w:rFonts w:hint="eastAsia"/>
          <w:sz w:val="28"/>
          <w:szCs w:val="28"/>
          <w:lang w:val="en-US" w:eastAsia="zh-CN"/>
        </w:rPr>
        <w:t>0</w:t>
      </w:r>
      <w:r>
        <w:rPr>
          <w:rFonts w:hint="eastAsia"/>
          <w:sz w:val="28"/>
          <w:szCs w:val="28"/>
        </w:rPr>
        <w:t>年间，学院本科生</w:t>
      </w:r>
      <w:r>
        <w:rPr>
          <w:rFonts w:hint="eastAsia"/>
          <w:sz w:val="28"/>
          <w:szCs w:val="28"/>
          <w:lang w:eastAsia="zh-CN"/>
        </w:rPr>
        <w:t>、</w:t>
      </w:r>
      <w:r>
        <w:rPr>
          <w:rFonts w:hint="eastAsia"/>
          <w:sz w:val="28"/>
          <w:szCs w:val="28"/>
        </w:rPr>
        <w:t>专科生招生人数</w:t>
      </w:r>
      <w:r>
        <w:rPr>
          <w:rFonts w:hint="eastAsia"/>
          <w:sz w:val="28"/>
          <w:szCs w:val="28"/>
          <w:lang w:val="en-US" w:eastAsia="zh-CN"/>
        </w:rPr>
        <w:t>增幅</w:t>
      </w:r>
      <w:r>
        <w:rPr>
          <w:rFonts w:hint="eastAsia"/>
          <w:sz w:val="28"/>
          <w:szCs w:val="28"/>
        </w:rPr>
        <w:t>较大。</w:t>
      </w:r>
    </w:p>
    <w:p>
      <w:pPr>
        <w:snapToGrid w:val="0"/>
        <w:spacing w:line="360" w:lineRule="auto"/>
        <w:ind w:firstLine="560" w:firstLineChars="200"/>
        <w:jc w:val="left"/>
        <w:textAlignment w:val="baseline"/>
        <w:rPr>
          <w:rFonts w:hint="eastAsia"/>
          <w:sz w:val="28"/>
          <w:szCs w:val="28"/>
        </w:rPr>
      </w:pPr>
      <w:r>
        <w:rPr>
          <w:rFonts w:hint="default" w:ascii="Calibri" w:hAnsi="Calibri" w:cs="Calibri"/>
          <w:sz w:val="28"/>
          <w:szCs w:val="28"/>
        </w:rPr>
        <w:t>②</w:t>
      </w:r>
      <w:r>
        <w:rPr>
          <w:rFonts w:hint="eastAsia"/>
          <w:sz w:val="28"/>
          <w:szCs w:val="28"/>
        </w:rPr>
        <w:t>学院2016年至202</w:t>
      </w:r>
      <w:r>
        <w:rPr>
          <w:rFonts w:hint="eastAsia"/>
          <w:sz w:val="28"/>
          <w:szCs w:val="28"/>
          <w:lang w:val="en-US" w:eastAsia="zh-CN"/>
        </w:rPr>
        <w:t>0</w:t>
      </w:r>
      <w:r>
        <w:rPr>
          <w:rFonts w:hint="eastAsia"/>
          <w:sz w:val="28"/>
          <w:szCs w:val="28"/>
        </w:rPr>
        <w:t>年本专科</w:t>
      </w:r>
      <w:r>
        <w:rPr>
          <w:rFonts w:hint="eastAsia"/>
          <w:color w:val="000000" w:themeColor="text1"/>
          <w:sz w:val="28"/>
          <w:szCs w:val="28"/>
          <w14:textFill>
            <w14:solidFill>
              <w14:schemeClr w14:val="tx1"/>
            </w14:solidFill>
          </w14:textFill>
        </w:rPr>
        <w:t>毕业生</w:t>
      </w:r>
      <w:r>
        <w:rPr>
          <w:rFonts w:hint="eastAsia"/>
          <w:sz w:val="28"/>
          <w:szCs w:val="28"/>
        </w:rPr>
        <w:t>总人数</w:t>
      </w:r>
      <w:r>
        <w:rPr>
          <w:rFonts w:hint="eastAsia"/>
          <w:sz w:val="28"/>
          <w:szCs w:val="28"/>
          <w:lang w:val="en-US" w:eastAsia="zh-CN"/>
        </w:rPr>
        <w:t>1822</w:t>
      </w:r>
      <w:r>
        <w:rPr>
          <w:rFonts w:hint="eastAsia"/>
          <w:sz w:val="28"/>
          <w:szCs w:val="28"/>
        </w:rPr>
        <w:t>人</w:t>
      </w:r>
      <w:r>
        <w:rPr>
          <w:rFonts w:hint="eastAsia"/>
          <w:sz w:val="28"/>
          <w:szCs w:val="28"/>
          <w:lang w:eastAsia="zh-CN"/>
        </w:rPr>
        <w:t>，</w:t>
      </w:r>
      <w:r>
        <w:rPr>
          <w:rFonts w:hint="eastAsia"/>
          <w:sz w:val="28"/>
          <w:szCs w:val="28"/>
          <w:lang w:val="en-US" w:eastAsia="zh-CN"/>
        </w:rPr>
        <w:t>具体见下表</w:t>
      </w:r>
      <w:r>
        <w:rPr>
          <w:rFonts w:hint="eastAsia"/>
          <w:sz w:val="28"/>
          <w:szCs w:val="28"/>
        </w:rPr>
        <w:t>。</w:t>
      </w:r>
    </w:p>
    <w:tbl>
      <w:tblPr>
        <w:tblStyle w:val="9"/>
        <w:tblpPr w:leftFromText="180" w:rightFromText="180" w:vertAnchor="text" w:horzAnchor="page" w:tblpX="1830" w:tblpY="9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5"/>
        <w:gridCol w:w="1454"/>
        <w:gridCol w:w="1274"/>
        <w:gridCol w:w="1315"/>
        <w:gridCol w:w="1274"/>
        <w:gridCol w:w="1442"/>
        <w:gridCol w:w="1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35" w:type="dxa"/>
          </w:tcPr>
          <w:p>
            <w:pPr>
              <w:snapToGrid w:val="0"/>
              <w:spacing w:line="360" w:lineRule="auto"/>
              <w:ind w:firstLine="420" w:firstLineChars="200"/>
              <w:jc w:val="left"/>
              <w:textAlignment w:val="baseline"/>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年份</w:t>
            </w:r>
          </w:p>
        </w:tc>
        <w:tc>
          <w:tcPr>
            <w:tcW w:w="1454" w:type="dxa"/>
          </w:tcPr>
          <w:p>
            <w:pPr>
              <w:snapToGrid w:val="0"/>
              <w:spacing w:line="360" w:lineRule="auto"/>
              <w:jc w:val="left"/>
              <w:textAlignment w:val="baseline"/>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2016年</w:t>
            </w:r>
          </w:p>
        </w:tc>
        <w:tc>
          <w:tcPr>
            <w:tcW w:w="1274" w:type="dxa"/>
          </w:tcPr>
          <w:p>
            <w:pPr>
              <w:snapToGrid w:val="0"/>
              <w:spacing w:line="360" w:lineRule="auto"/>
              <w:jc w:val="left"/>
              <w:textAlignment w:val="baseline"/>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2017年</w:t>
            </w:r>
          </w:p>
        </w:tc>
        <w:tc>
          <w:tcPr>
            <w:tcW w:w="1315" w:type="dxa"/>
          </w:tcPr>
          <w:p>
            <w:pPr>
              <w:snapToGrid w:val="0"/>
              <w:spacing w:line="360" w:lineRule="auto"/>
              <w:jc w:val="left"/>
              <w:textAlignment w:val="baseline"/>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2018年</w:t>
            </w:r>
          </w:p>
        </w:tc>
        <w:tc>
          <w:tcPr>
            <w:tcW w:w="1274" w:type="dxa"/>
          </w:tcPr>
          <w:p>
            <w:pPr>
              <w:snapToGrid w:val="0"/>
              <w:spacing w:line="360" w:lineRule="auto"/>
              <w:jc w:val="left"/>
              <w:textAlignment w:val="baseline"/>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2019年</w:t>
            </w:r>
          </w:p>
        </w:tc>
        <w:tc>
          <w:tcPr>
            <w:tcW w:w="1442" w:type="dxa"/>
          </w:tcPr>
          <w:p>
            <w:pPr>
              <w:snapToGrid w:val="0"/>
              <w:spacing w:line="360" w:lineRule="auto"/>
              <w:jc w:val="left"/>
              <w:textAlignment w:val="baseline"/>
              <w:rPr>
                <w:rFonts w:ascii="Times New Roman" w:hAnsi="Times New Roman" w:eastAsia="宋体" w:cs="Times New Roman"/>
                <w:szCs w:val="21"/>
              </w:rPr>
            </w:pPr>
            <w:r>
              <w:rPr>
                <w:rFonts w:ascii="Times New Roman" w:hAnsi="Times New Roman" w:eastAsia="宋体" w:cs="Times New Roman"/>
                <w:szCs w:val="21"/>
              </w:rPr>
              <w:t>2020年</w:t>
            </w:r>
          </w:p>
        </w:tc>
        <w:tc>
          <w:tcPr>
            <w:tcW w:w="1114" w:type="dxa"/>
          </w:tcPr>
          <w:p>
            <w:pPr>
              <w:snapToGrid w:val="0"/>
              <w:spacing w:line="360" w:lineRule="auto"/>
              <w:jc w:val="left"/>
              <w:textAlignment w:val="baseline"/>
              <w:rPr>
                <w:rFonts w:hint="eastAsia" w:ascii="Times New Roman" w:hAnsi="Times New Roman" w:eastAsia="宋体" w:cs="Times New Roman"/>
                <w:szCs w:val="21"/>
                <w:lang w:eastAsia="zh-CN"/>
              </w:rPr>
            </w:pPr>
            <w:r>
              <w:rPr>
                <w:rFonts w:hint="eastAsia" w:ascii="Times New Roman" w:hAnsi="Times New Roman" w:eastAsia="宋体" w:cs="Times New Roman"/>
                <w:szCs w:val="21"/>
                <w:lang w:val="en-US" w:eastAsia="zh-CN"/>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5" w:type="dxa"/>
            <w:vAlign w:val="top"/>
          </w:tcPr>
          <w:p>
            <w:pPr>
              <w:snapToGrid w:val="0"/>
              <w:spacing w:line="360" w:lineRule="auto"/>
              <w:jc w:val="left"/>
              <w:textAlignment w:val="baseline"/>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本科生数</w:t>
            </w:r>
          </w:p>
        </w:tc>
        <w:tc>
          <w:tcPr>
            <w:tcW w:w="1454" w:type="dxa"/>
            <w:vAlign w:val="top"/>
          </w:tcPr>
          <w:p>
            <w:pPr>
              <w:snapToGrid w:val="0"/>
              <w:spacing w:line="360" w:lineRule="auto"/>
              <w:jc w:val="left"/>
              <w:textAlignment w:val="baseline"/>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324</w:t>
            </w:r>
          </w:p>
        </w:tc>
        <w:tc>
          <w:tcPr>
            <w:tcW w:w="1274" w:type="dxa"/>
            <w:vAlign w:val="top"/>
          </w:tcPr>
          <w:p>
            <w:pPr>
              <w:snapToGrid w:val="0"/>
              <w:spacing w:line="360" w:lineRule="auto"/>
              <w:jc w:val="left"/>
              <w:textAlignment w:val="baseline"/>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273</w:t>
            </w:r>
          </w:p>
        </w:tc>
        <w:tc>
          <w:tcPr>
            <w:tcW w:w="1315" w:type="dxa"/>
            <w:vAlign w:val="top"/>
          </w:tcPr>
          <w:p>
            <w:pPr>
              <w:snapToGrid w:val="0"/>
              <w:spacing w:line="360" w:lineRule="auto"/>
              <w:jc w:val="left"/>
              <w:textAlignment w:val="baseline"/>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298</w:t>
            </w:r>
          </w:p>
        </w:tc>
        <w:tc>
          <w:tcPr>
            <w:tcW w:w="1274" w:type="dxa"/>
            <w:vAlign w:val="top"/>
          </w:tcPr>
          <w:p>
            <w:pPr>
              <w:snapToGrid w:val="0"/>
              <w:spacing w:line="360" w:lineRule="auto"/>
              <w:jc w:val="left"/>
              <w:textAlignment w:val="baseline"/>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288</w:t>
            </w:r>
          </w:p>
        </w:tc>
        <w:tc>
          <w:tcPr>
            <w:tcW w:w="1442" w:type="dxa"/>
            <w:vAlign w:val="top"/>
          </w:tcPr>
          <w:p>
            <w:pPr>
              <w:snapToGrid w:val="0"/>
              <w:spacing w:line="360" w:lineRule="auto"/>
              <w:jc w:val="left"/>
              <w:textAlignment w:val="baseline"/>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281</w:t>
            </w:r>
            <w:r>
              <w:rPr>
                <w:rFonts w:hint="eastAsia" w:ascii="Times New Roman" w:hAnsi="Times New Roman" w:eastAsia="宋体" w:cs="Times New Roman"/>
                <w:szCs w:val="21"/>
                <w:lang w:val="en-US" w:eastAsia="zh-CN"/>
              </w:rPr>
              <w:t>+</w:t>
            </w:r>
            <w:r>
              <w:rPr>
                <w:rFonts w:ascii="Times New Roman" w:hAnsi="Times New Roman" w:eastAsia="宋体" w:cs="Times New Roman"/>
                <w:szCs w:val="21"/>
              </w:rPr>
              <w:t>1</w:t>
            </w:r>
          </w:p>
        </w:tc>
        <w:tc>
          <w:tcPr>
            <w:tcW w:w="1114" w:type="dxa"/>
            <w:vAlign w:val="top"/>
          </w:tcPr>
          <w:p>
            <w:pPr>
              <w:snapToGrid w:val="0"/>
              <w:spacing w:line="360" w:lineRule="auto"/>
              <w:jc w:val="left"/>
              <w:textAlignment w:val="baseline"/>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1465+1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5" w:type="dxa"/>
            <w:vAlign w:val="top"/>
          </w:tcPr>
          <w:p>
            <w:pPr>
              <w:snapToGrid w:val="0"/>
              <w:spacing w:line="360" w:lineRule="auto"/>
              <w:jc w:val="left"/>
              <w:textAlignment w:val="baseline"/>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专科生数</w:t>
            </w:r>
          </w:p>
        </w:tc>
        <w:tc>
          <w:tcPr>
            <w:tcW w:w="1454" w:type="dxa"/>
            <w:vAlign w:val="top"/>
          </w:tcPr>
          <w:p>
            <w:pPr>
              <w:snapToGrid w:val="0"/>
              <w:spacing w:line="360" w:lineRule="auto"/>
              <w:jc w:val="left"/>
              <w:textAlignment w:val="baseline"/>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131</w:t>
            </w:r>
          </w:p>
        </w:tc>
        <w:tc>
          <w:tcPr>
            <w:tcW w:w="1274" w:type="dxa"/>
            <w:vAlign w:val="top"/>
          </w:tcPr>
          <w:p>
            <w:pPr>
              <w:snapToGrid w:val="0"/>
              <w:spacing w:line="360" w:lineRule="auto"/>
              <w:jc w:val="left"/>
              <w:textAlignment w:val="baseline"/>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141</w:t>
            </w:r>
          </w:p>
        </w:tc>
        <w:tc>
          <w:tcPr>
            <w:tcW w:w="1315" w:type="dxa"/>
            <w:vAlign w:val="top"/>
          </w:tcPr>
          <w:p>
            <w:pPr>
              <w:snapToGrid w:val="0"/>
              <w:spacing w:line="360" w:lineRule="auto"/>
              <w:jc w:val="left"/>
              <w:textAlignment w:val="baseline"/>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0</w:t>
            </w:r>
          </w:p>
        </w:tc>
        <w:tc>
          <w:tcPr>
            <w:tcW w:w="1274" w:type="dxa"/>
            <w:vAlign w:val="top"/>
          </w:tcPr>
          <w:p>
            <w:pPr>
              <w:snapToGrid w:val="0"/>
              <w:spacing w:line="360" w:lineRule="auto"/>
              <w:jc w:val="left"/>
              <w:textAlignment w:val="baseline"/>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0</w:t>
            </w:r>
          </w:p>
        </w:tc>
        <w:tc>
          <w:tcPr>
            <w:tcW w:w="1442" w:type="dxa"/>
            <w:vAlign w:val="top"/>
          </w:tcPr>
          <w:p>
            <w:pPr>
              <w:snapToGrid w:val="0"/>
              <w:spacing w:line="360" w:lineRule="auto"/>
              <w:jc w:val="left"/>
              <w:textAlignment w:val="baseline"/>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84</w:t>
            </w:r>
          </w:p>
        </w:tc>
        <w:tc>
          <w:tcPr>
            <w:tcW w:w="1114" w:type="dxa"/>
            <w:vAlign w:val="top"/>
          </w:tcPr>
          <w:p>
            <w:pPr>
              <w:snapToGrid w:val="0"/>
              <w:spacing w:line="360" w:lineRule="auto"/>
              <w:jc w:val="left"/>
              <w:textAlignment w:val="baseline"/>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5" w:type="dxa"/>
            <w:vAlign w:val="top"/>
          </w:tcPr>
          <w:p>
            <w:pPr>
              <w:snapToGrid w:val="0"/>
              <w:spacing w:line="360" w:lineRule="auto"/>
              <w:jc w:val="left"/>
              <w:textAlignment w:val="baseline"/>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毕业生总数</w:t>
            </w:r>
          </w:p>
        </w:tc>
        <w:tc>
          <w:tcPr>
            <w:tcW w:w="1454" w:type="dxa"/>
            <w:vAlign w:val="top"/>
          </w:tcPr>
          <w:p>
            <w:pPr>
              <w:snapToGrid w:val="0"/>
              <w:spacing w:line="360" w:lineRule="auto"/>
              <w:jc w:val="left"/>
              <w:textAlignment w:val="baseline"/>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455</w:t>
            </w:r>
          </w:p>
        </w:tc>
        <w:tc>
          <w:tcPr>
            <w:tcW w:w="1274" w:type="dxa"/>
            <w:vAlign w:val="top"/>
          </w:tcPr>
          <w:p>
            <w:pPr>
              <w:snapToGrid w:val="0"/>
              <w:spacing w:line="360" w:lineRule="auto"/>
              <w:jc w:val="left"/>
              <w:textAlignment w:val="baseline"/>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414</w:t>
            </w:r>
          </w:p>
        </w:tc>
        <w:tc>
          <w:tcPr>
            <w:tcW w:w="1315" w:type="dxa"/>
            <w:vAlign w:val="top"/>
          </w:tcPr>
          <w:p>
            <w:pPr>
              <w:snapToGrid w:val="0"/>
              <w:spacing w:line="360" w:lineRule="auto"/>
              <w:jc w:val="left"/>
              <w:textAlignment w:val="baseline"/>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298</w:t>
            </w:r>
          </w:p>
        </w:tc>
        <w:tc>
          <w:tcPr>
            <w:tcW w:w="1274" w:type="dxa"/>
            <w:vAlign w:val="top"/>
          </w:tcPr>
          <w:p>
            <w:pPr>
              <w:snapToGrid w:val="0"/>
              <w:spacing w:line="360" w:lineRule="auto"/>
              <w:jc w:val="left"/>
              <w:textAlignment w:val="baseline"/>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288</w:t>
            </w:r>
          </w:p>
        </w:tc>
        <w:tc>
          <w:tcPr>
            <w:tcW w:w="1442" w:type="dxa"/>
            <w:vAlign w:val="top"/>
          </w:tcPr>
          <w:p>
            <w:pPr>
              <w:snapToGrid w:val="0"/>
              <w:spacing w:line="360" w:lineRule="auto"/>
              <w:jc w:val="left"/>
              <w:textAlignment w:val="baseline"/>
              <w:rPr>
                <w:rFonts w:hint="default"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365</w:t>
            </w:r>
            <w:r>
              <w:rPr>
                <w:rFonts w:hint="eastAsia" w:ascii="Times New Roman" w:hAnsi="Times New Roman" w:eastAsia="宋体" w:cs="Times New Roman"/>
                <w:szCs w:val="21"/>
                <w:lang w:val="en-US" w:eastAsia="zh-CN"/>
              </w:rPr>
              <w:t>+1</w:t>
            </w:r>
          </w:p>
        </w:tc>
        <w:tc>
          <w:tcPr>
            <w:tcW w:w="1114" w:type="dxa"/>
            <w:vAlign w:val="top"/>
          </w:tcPr>
          <w:p>
            <w:pPr>
              <w:snapToGrid w:val="0"/>
              <w:spacing w:line="360" w:lineRule="auto"/>
              <w:jc w:val="left"/>
              <w:textAlignment w:val="baseline"/>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1821+1</w:t>
            </w:r>
          </w:p>
        </w:tc>
      </w:tr>
    </w:tbl>
    <w:p>
      <w:pPr>
        <w:snapToGrid w:val="0"/>
        <w:spacing w:line="360" w:lineRule="auto"/>
        <w:ind w:firstLine="560" w:firstLineChars="200"/>
        <w:jc w:val="left"/>
        <w:textAlignment w:val="baseline"/>
        <w:rPr>
          <w:rFonts w:hint="default" w:ascii="Calibri" w:hAnsi="Calibri" w:cs="Calibri"/>
          <w:sz w:val="28"/>
          <w:szCs w:val="28"/>
        </w:rPr>
      </w:pPr>
      <w:r>
        <w:rPr>
          <w:rFonts w:hint="eastAsia"/>
          <w:color w:val="auto"/>
          <w:sz w:val="28"/>
          <w:szCs w:val="28"/>
        </w:rPr>
        <w:t>2016年至2020年间，学院毕业生人数总体呈现下降趋势，专科毕业生下降明显。</w:t>
      </w:r>
      <w:r>
        <w:rPr>
          <w:rFonts w:hint="eastAsia"/>
          <w:sz w:val="28"/>
          <w:szCs w:val="28"/>
        </w:rPr>
        <w:t>学院就业率基本维持在</w:t>
      </w:r>
      <w:r>
        <w:rPr>
          <w:sz w:val="28"/>
          <w:szCs w:val="28"/>
        </w:rPr>
        <w:t>95%</w:t>
      </w:r>
      <w:r>
        <w:rPr>
          <w:rFonts w:hint="eastAsia"/>
          <w:sz w:val="28"/>
          <w:szCs w:val="28"/>
          <w:lang w:val="en-US" w:eastAsia="zh-CN"/>
        </w:rPr>
        <w:t>左右</w:t>
      </w:r>
      <w:r>
        <w:rPr>
          <w:rFonts w:hint="eastAsia"/>
          <w:sz w:val="28"/>
          <w:szCs w:val="28"/>
        </w:rPr>
        <w:t>，其中优质就业率</w:t>
      </w:r>
      <w:r>
        <w:rPr>
          <w:rFonts w:hint="eastAsia"/>
          <w:sz w:val="28"/>
          <w:szCs w:val="28"/>
          <w:lang w:val="en-US" w:eastAsia="zh-CN"/>
        </w:rPr>
        <w:t>和</w:t>
      </w:r>
      <w:r>
        <w:rPr>
          <w:rFonts w:hint="eastAsia"/>
          <w:sz w:val="28"/>
          <w:szCs w:val="28"/>
        </w:rPr>
        <w:t>考研人数不断攀升。总之，学生高质量就业</w:t>
      </w:r>
      <w:r>
        <w:rPr>
          <w:rFonts w:hint="eastAsia"/>
          <w:sz w:val="28"/>
          <w:szCs w:val="28"/>
          <w:lang w:val="en-US" w:eastAsia="zh-CN"/>
        </w:rPr>
        <w:t>率比较高，就业领域</w:t>
      </w:r>
      <w:r>
        <w:rPr>
          <w:rFonts w:hint="eastAsia"/>
          <w:sz w:val="28"/>
          <w:szCs w:val="28"/>
        </w:rPr>
        <w:t>呈现多元化趋势。</w:t>
      </w:r>
    </w:p>
    <w:p>
      <w:pPr>
        <w:snapToGrid w:val="0"/>
        <w:spacing w:line="360" w:lineRule="auto"/>
        <w:ind w:firstLine="560" w:firstLineChars="200"/>
        <w:jc w:val="left"/>
        <w:textAlignment w:val="baseline"/>
        <w:rPr>
          <w:rFonts w:hint="eastAsia"/>
          <w:sz w:val="28"/>
          <w:szCs w:val="28"/>
        </w:rPr>
      </w:pPr>
      <w:r>
        <w:rPr>
          <w:rFonts w:hint="default" w:ascii="Calibri" w:hAnsi="Calibri" w:cs="Calibri"/>
          <w:sz w:val="28"/>
          <w:szCs w:val="28"/>
        </w:rPr>
        <w:t>③</w:t>
      </w:r>
      <w:r>
        <w:rPr>
          <w:rFonts w:hint="eastAsia"/>
          <w:sz w:val="28"/>
          <w:szCs w:val="28"/>
        </w:rPr>
        <w:t>学院201</w:t>
      </w:r>
      <w:r>
        <w:rPr>
          <w:rFonts w:hint="eastAsia"/>
          <w:sz w:val="28"/>
          <w:szCs w:val="28"/>
          <w:lang w:val="en-US" w:eastAsia="zh-CN"/>
        </w:rPr>
        <w:t>8</w:t>
      </w:r>
      <w:r>
        <w:rPr>
          <w:rFonts w:hint="eastAsia"/>
          <w:sz w:val="28"/>
          <w:szCs w:val="28"/>
        </w:rPr>
        <w:t>年至202</w:t>
      </w:r>
      <w:r>
        <w:rPr>
          <w:rFonts w:hint="eastAsia"/>
          <w:sz w:val="28"/>
          <w:szCs w:val="28"/>
          <w:lang w:val="en-US" w:eastAsia="zh-CN"/>
        </w:rPr>
        <w:t>0</w:t>
      </w:r>
      <w:r>
        <w:rPr>
          <w:rFonts w:hint="eastAsia"/>
          <w:sz w:val="28"/>
          <w:szCs w:val="28"/>
        </w:rPr>
        <w:t>年</w:t>
      </w:r>
      <w:r>
        <w:rPr>
          <w:rFonts w:hint="eastAsia"/>
          <w:sz w:val="28"/>
          <w:szCs w:val="28"/>
          <w:lang w:val="en-US" w:eastAsia="zh-CN"/>
        </w:rPr>
        <w:t>研究</w:t>
      </w:r>
      <w:r>
        <w:rPr>
          <w:rFonts w:hint="eastAsia"/>
          <w:color w:val="000000" w:themeColor="text1"/>
          <w:sz w:val="28"/>
          <w:szCs w:val="28"/>
          <w14:textFill>
            <w14:solidFill>
              <w14:schemeClr w14:val="tx1"/>
            </w14:solidFill>
          </w14:textFill>
        </w:rPr>
        <w:t>生</w:t>
      </w:r>
      <w:r>
        <w:rPr>
          <w:rFonts w:hint="eastAsia"/>
          <w:color w:val="000000" w:themeColor="text1"/>
          <w:sz w:val="28"/>
          <w:szCs w:val="28"/>
          <w:lang w:val="en-US" w:eastAsia="zh-CN"/>
          <w14:textFill>
            <w14:solidFill>
              <w14:schemeClr w14:val="tx1"/>
            </w14:solidFill>
          </w14:textFill>
        </w:rPr>
        <w:t>招生</w:t>
      </w:r>
      <w:r>
        <w:rPr>
          <w:rFonts w:hint="eastAsia"/>
          <w:color w:val="000000" w:themeColor="text1"/>
          <w:sz w:val="28"/>
          <w:szCs w:val="28"/>
          <w14:textFill>
            <w14:solidFill>
              <w14:schemeClr w14:val="tx1"/>
            </w14:solidFill>
          </w14:textFill>
        </w:rPr>
        <w:t>人数</w:t>
      </w:r>
      <w:r>
        <w:rPr>
          <w:rFonts w:hint="eastAsia"/>
          <w:sz w:val="28"/>
          <w:szCs w:val="28"/>
        </w:rPr>
        <w:t>总人数</w:t>
      </w:r>
      <w:r>
        <w:rPr>
          <w:rFonts w:hint="eastAsia"/>
          <w:sz w:val="28"/>
          <w:szCs w:val="28"/>
          <w:lang w:val="en-US" w:eastAsia="zh-CN"/>
        </w:rPr>
        <w:t>297</w:t>
      </w:r>
      <w:r>
        <w:rPr>
          <w:rFonts w:hint="eastAsia"/>
          <w:sz w:val="28"/>
          <w:szCs w:val="28"/>
        </w:rPr>
        <w:t>人</w:t>
      </w:r>
      <w:r>
        <w:rPr>
          <w:rFonts w:hint="eastAsia"/>
          <w:sz w:val="28"/>
          <w:szCs w:val="28"/>
          <w:lang w:eastAsia="zh-CN"/>
        </w:rPr>
        <w:t>，</w:t>
      </w:r>
      <w:r>
        <w:rPr>
          <w:rFonts w:hint="eastAsia"/>
          <w:sz w:val="28"/>
          <w:szCs w:val="28"/>
          <w:lang w:val="en-US" w:eastAsia="zh-CN"/>
        </w:rPr>
        <w:t>具体见下表</w:t>
      </w:r>
      <w:r>
        <w:rPr>
          <w:rFonts w:hint="eastAsia"/>
          <w:sz w:val="28"/>
          <w:szCs w:val="28"/>
        </w:rPr>
        <w:t>。</w:t>
      </w:r>
    </w:p>
    <w:tbl>
      <w:tblPr>
        <w:tblStyle w:val="9"/>
        <w:tblpPr w:leftFromText="180" w:rightFromText="180" w:vertAnchor="text" w:horzAnchor="page" w:tblpX="2205" w:tblpY="9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0"/>
        <w:gridCol w:w="1240"/>
        <w:gridCol w:w="1340"/>
        <w:gridCol w:w="1425"/>
        <w:gridCol w:w="1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900" w:type="dxa"/>
          </w:tcPr>
          <w:p>
            <w:pPr>
              <w:snapToGrid w:val="0"/>
              <w:spacing w:line="360" w:lineRule="auto"/>
              <w:ind w:firstLine="420" w:firstLineChars="200"/>
              <w:jc w:val="left"/>
              <w:textAlignment w:val="baseline"/>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年份</w:t>
            </w:r>
          </w:p>
        </w:tc>
        <w:tc>
          <w:tcPr>
            <w:tcW w:w="1240" w:type="dxa"/>
          </w:tcPr>
          <w:p>
            <w:pPr>
              <w:snapToGrid w:val="0"/>
              <w:spacing w:line="360" w:lineRule="auto"/>
              <w:jc w:val="left"/>
              <w:textAlignment w:val="baseline"/>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2018年</w:t>
            </w:r>
          </w:p>
        </w:tc>
        <w:tc>
          <w:tcPr>
            <w:tcW w:w="1340" w:type="dxa"/>
          </w:tcPr>
          <w:p>
            <w:pPr>
              <w:snapToGrid w:val="0"/>
              <w:spacing w:line="360" w:lineRule="auto"/>
              <w:jc w:val="left"/>
              <w:textAlignment w:val="baseline"/>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2019年</w:t>
            </w:r>
          </w:p>
        </w:tc>
        <w:tc>
          <w:tcPr>
            <w:tcW w:w="1425" w:type="dxa"/>
          </w:tcPr>
          <w:p>
            <w:pPr>
              <w:snapToGrid w:val="0"/>
              <w:spacing w:line="360" w:lineRule="auto"/>
              <w:jc w:val="left"/>
              <w:textAlignment w:val="baseline"/>
              <w:rPr>
                <w:rFonts w:ascii="Times New Roman" w:hAnsi="Times New Roman" w:eastAsia="宋体" w:cs="Times New Roman"/>
                <w:szCs w:val="21"/>
              </w:rPr>
            </w:pPr>
            <w:r>
              <w:rPr>
                <w:rFonts w:ascii="Times New Roman" w:hAnsi="Times New Roman" w:eastAsia="宋体" w:cs="Times New Roman"/>
                <w:szCs w:val="21"/>
              </w:rPr>
              <w:t>2020年</w:t>
            </w:r>
          </w:p>
        </w:tc>
        <w:tc>
          <w:tcPr>
            <w:tcW w:w="1255" w:type="dxa"/>
          </w:tcPr>
          <w:p>
            <w:pPr>
              <w:snapToGrid w:val="0"/>
              <w:spacing w:line="360" w:lineRule="auto"/>
              <w:jc w:val="left"/>
              <w:textAlignment w:val="baseline"/>
              <w:rPr>
                <w:rFonts w:hint="eastAsia" w:ascii="Times New Roman" w:hAnsi="Times New Roman" w:eastAsia="宋体" w:cs="Times New Roman"/>
                <w:szCs w:val="21"/>
                <w:lang w:eastAsia="zh-CN"/>
              </w:rPr>
            </w:pPr>
            <w:r>
              <w:rPr>
                <w:rFonts w:hint="eastAsia" w:ascii="Times New Roman" w:hAnsi="Times New Roman" w:eastAsia="宋体" w:cs="Times New Roman"/>
                <w:szCs w:val="21"/>
                <w:lang w:val="en-US" w:eastAsia="zh-CN"/>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vAlign w:val="top"/>
          </w:tcPr>
          <w:p>
            <w:pPr>
              <w:snapToGrid w:val="0"/>
              <w:spacing w:line="360" w:lineRule="auto"/>
              <w:jc w:val="left"/>
              <w:textAlignment w:val="baseline"/>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国际研究生</w:t>
            </w:r>
          </w:p>
        </w:tc>
        <w:tc>
          <w:tcPr>
            <w:tcW w:w="1240" w:type="dxa"/>
            <w:vAlign w:val="top"/>
          </w:tcPr>
          <w:p>
            <w:pPr>
              <w:snapToGrid w:val="0"/>
              <w:spacing w:line="360" w:lineRule="auto"/>
              <w:jc w:val="left"/>
              <w:textAlignment w:val="baseline"/>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17</w:t>
            </w:r>
          </w:p>
        </w:tc>
        <w:tc>
          <w:tcPr>
            <w:tcW w:w="1340" w:type="dxa"/>
            <w:vAlign w:val="top"/>
          </w:tcPr>
          <w:p>
            <w:pPr>
              <w:snapToGrid w:val="0"/>
              <w:spacing w:line="360" w:lineRule="auto"/>
              <w:jc w:val="left"/>
              <w:textAlignment w:val="baseline"/>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56</w:t>
            </w:r>
          </w:p>
        </w:tc>
        <w:tc>
          <w:tcPr>
            <w:tcW w:w="1425" w:type="dxa"/>
            <w:vAlign w:val="top"/>
          </w:tcPr>
          <w:p>
            <w:pPr>
              <w:snapToGrid w:val="0"/>
              <w:spacing w:line="360" w:lineRule="auto"/>
              <w:jc w:val="left"/>
              <w:textAlignment w:val="baseline"/>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Cs w:val="21"/>
                <w:lang w:val="en-US" w:eastAsia="zh-CN"/>
              </w:rPr>
              <w:t>0</w:t>
            </w:r>
          </w:p>
        </w:tc>
        <w:tc>
          <w:tcPr>
            <w:tcW w:w="1255" w:type="dxa"/>
            <w:vAlign w:val="top"/>
          </w:tcPr>
          <w:p>
            <w:pPr>
              <w:snapToGrid w:val="0"/>
              <w:spacing w:line="360" w:lineRule="auto"/>
              <w:jc w:val="left"/>
              <w:textAlignment w:val="baseline"/>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vAlign w:val="top"/>
          </w:tcPr>
          <w:p>
            <w:pPr>
              <w:snapToGrid w:val="0"/>
              <w:spacing w:line="360" w:lineRule="auto"/>
              <w:jc w:val="left"/>
              <w:textAlignment w:val="baseline"/>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国内学术型研究生</w:t>
            </w:r>
          </w:p>
        </w:tc>
        <w:tc>
          <w:tcPr>
            <w:tcW w:w="1240" w:type="dxa"/>
            <w:vAlign w:val="top"/>
          </w:tcPr>
          <w:p>
            <w:pPr>
              <w:snapToGrid w:val="0"/>
              <w:spacing w:line="360" w:lineRule="auto"/>
              <w:jc w:val="left"/>
              <w:textAlignment w:val="baseline"/>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w:t>
            </w:r>
          </w:p>
        </w:tc>
        <w:tc>
          <w:tcPr>
            <w:tcW w:w="1340" w:type="dxa"/>
            <w:vAlign w:val="top"/>
          </w:tcPr>
          <w:p>
            <w:pPr>
              <w:snapToGrid w:val="0"/>
              <w:spacing w:line="360" w:lineRule="auto"/>
              <w:jc w:val="left"/>
              <w:textAlignment w:val="baseline"/>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16</w:t>
            </w:r>
          </w:p>
        </w:tc>
        <w:tc>
          <w:tcPr>
            <w:tcW w:w="1425" w:type="dxa"/>
            <w:vAlign w:val="top"/>
          </w:tcPr>
          <w:p>
            <w:pPr>
              <w:snapToGrid w:val="0"/>
              <w:spacing w:line="360" w:lineRule="auto"/>
              <w:jc w:val="left"/>
              <w:textAlignment w:val="baseline"/>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Cs w:val="21"/>
                <w:lang w:val="en-US" w:eastAsia="zh-CN"/>
              </w:rPr>
              <w:t>45</w:t>
            </w:r>
          </w:p>
        </w:tc>
        <w:tc>
          <w:tcPr>
            <w:tcW w:w="1255" w:type="dxa"/>
            <w:vAlign w:val="top"/>
          </w:tcPr>
          <w:p>
            <w:pPr>
              <w:snapToGrid w:val="0"/>
              <w:spacing w:line="360" w:lineRule="auto"/>
              <w:jc w:val="left"/>
              <w:textAlignment w:val="baseline"/>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vAlign w:val="top"/>
          </w:tcPr>
          <w:p>
            <w:pPr>
              <w:snapToGrid w:val="0"/>
              <w:spacing w:line="360" w:lineRule="auto"/>
              <w:jc w:val="left"/>
              <w:textAlignment w:val="baseline"/>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国内专业型研究生</w:t>
            </w:r>
          </w:p>
        </w:tc>
        <w:tc>
          <w:tcPr>
            <w:tcW w:w="1240" w:type="dxa"/>
            <w:vAlign w:val="top"/>
          </w:tcPr>
          <w:p>
            <w:pPr>
              <w:snapToGrid w:val="0"/>
              <w:spacing w:line="360" w:lineRule="auto"/>
              <w:jc w:val="left"/>
              <w:textAlignment w:val="baseline"/>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w:t>
            </w:r>
          </w:p>
        </w:tc>
        <w:tc>
          <w:tcPr>
            <w:tcW w:w="1340" w:type="dxa"/>
            <w:vAlign w:val="top"/>
          </w:tcPr>
          <w:p>
            <w:pPr>
              <w:snapToGrid w:val="0"/>
              <w:spacing w:line="360" w:lineRule="auto"/>
              <w:jc w:val="left"/>
              <w:textAlignment w:val="baseline"/>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68</w:t>
            </w:r>
          </w:p>
        </w:tc>
        <w:tc>
          <w:tcPr>
            <w:tcW w:w="1425" w:type="dxa"/>
            <w:vAlign w:val="top"/>
          </w:tcPr>
          <w:p>
            <w:pPr>
              <w:snapToGrid w:val="0"/>
              <w:spacing w:line="360" w:lineRule="auto"/>
              <w:jc w:val="left"/>
              <w:textAlignment w:val="baseline"/>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95</w:t>
            </w:r>
          </w:p>
        </w:tc>
        <w:tc>
          <w:tcPr>
            <w:tcW w:w="1255" w:type="dxa"/>
            <w:vAlign w:val="top"/>
          </w:tcPr>
          <w:p>
            <w:pPr>
              <w:snapToGrid w:val="0"/>
              <w:spacing w:line="360" w:lineRule="auto"/>
              <w:jc w:val="left"/>
              <w:textAlignment w:val="baseline"/>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vAlign w:val="top"/>
          </w:tcPr>
          <w:p>
            <w:pPr>
              <w:snapToGrid w:val="0"/>
              <w:spacing w:line="360" w:lineRule="auto"/>
              <w:jc w:val="left"/>
              <w:textAlignment w:val="baseline"/>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招</w:t>
            </w:r>
            <w:r>
              <w:rPr>
                <w:rFonts w:ascii="Times New Roman" w:hAnsi="Times New Roman" w:eastAsia="宋体" w:cs="Times New Roman"/>
                <w:color w:val="000000" w:themeColor="text1"/>
                <w:szCs w:val="21"/>
                <w14:textFill>
                  <w14:solidFill>
                    <w14:schemeClr w14:val="tx1"/>
                  </w14:solidFill>
                </w14:textFill>
              </w:rPr>
              <w:t>生总数</w:t>
            </w:r>
          </w:p>
        </w:tc>
        <w:tc>
          <w:tcPr>
            <w:tcW w:w="1240" w:type="dxa"/>
            <w:vAlign w:val="top"/>
          </w:tcPr>
          <w:p>
            <w:pPr>
              <w:snapToGrid w:val="0"/>
              <w:spacing w:line="360" w:lineRule="auto"/>
              <w:jc w:val="left"/>
              <w:textAlignment w:val="baseline"/>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17</w:t>
            </w:r>
          </w:p>
        </w:tc>
        <w:tc>
          <w:tcPr>
            <w:tcW w:w="1340" w:type="dxa"/>
            <w:vAlign w:val="top"/>
          </w:tcPr>
          <w:p>
            <w:pPr>
              <w:snapToGrid w:val="0"/>
              <w:spacing w:line="360" w:lineRule="auto"/>
              <w:jc w:val="left"/>
              <w:textAlignment w:val="baseline"/>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140</w:t>
            </w:r>
          </w:p>
        </w:tc>
        <w:tc>
          <w:tcPr>
            <w:tcW w:w="1425" w:type="dxa"/>
            <w:vAlign w:val="top"/>
          </w:tcPr>
          <w:p>
            <w:pPr>
              <w:snapToGrid w:val="0"/>
              <w:spacing w:line="360" w:lineRule="auto"/>
              <w:jc w:val="left"/>
              <w:textAlignment w:val="baseline"/>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Cs w:val="21"/>
                <w:lang w:val="en-US" w:eastAsia="zh-CN"/>
              </w:rPr>
              <w:t>140</w:t>
            </w:r>
          </w:p>
        </w:tc>
        <w:tc>
          <w:tcPr>
            <w:tcW w:w="1255" w:type="dxa"/>
            <w:vAlign w:val="top"/>
          </w:tcPr>
          <w:p>
            <w:pPr>
              <w:snapToGrid w:val="0"/>
              <w:spacing w:line="360" w:lineRule="auto"/>
              <w:jc w:val="left"/>
              <w:textAlignment w:val="baseline"/>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297</w:t>
            </w:r>
          </w:p>
        </w:tc>
      </w:tr>
    </w:tbl>
    <w:p>
      <w:pPr>
        <w:snapToGrid w:val="0"/>
        <w:spacing w:line="360" w:lineRule="auto"/>
        <w:ind w:firstLine="560"/>
        <w:jc w:val="left"/>
        <w:textAlignment w:val="baseline"/>
        <w:rPr>
          <w:rFonts w:hint="eastAsia"/>
          <w:sz w:val="28"/>
          <w:szCs w:val="28"/>
        </w:rPr>
      </w:pPr>
    </w:p>
    <w:p>
      <w:pPr>
        <w:snapToGrid w:val="0"/>
        <w:spacing w:line="360" w:lineRule="auto"/>
        <w:ind w:firstLine="560"/>
        <w:jc w:val="left"/>
        <w:textAlignment w:val="baseline"/>
        <w:rPr>
          <w:rFonts w:hint="eastAsia"/>
          <w:sz w:val="28"/>
          <w:szCs w:val="28"/>
        </w:rPr>
      </w:pPr>
    </w:p>
    <w:p>
      <w:pPr>
        <w:snapToGrid w:val="0"/>
        <w:spacing w:line="360" w:lineRule="auto"/>
        <w:ind w:firstLine="560"/>
        <w:jc w:val="left"/>
        <w:textAlignment w:val="baseline"/>
        <w:rPr>
          <w:rFonts w:hint="eastAsia"/>
          <w:sz w:val="28"/>
          <w:szCs w:val="28"/>
        </w:rPr>
      </w:pPr>
    </w:p>
    <w:p>
      <w:pPr>
        <w:snapToGrid w:val="0"/>
        <w:spacing w:line="360" w:lineRule="auto"/>
        <w:jc w:val="left"/>
        <w:textAlignment w:val="baseline"/>
        <w:rPr>
          <w:rFonts w:hint="eastAsia"/>
          <w:sz w:val="28"/>
          <w:szCs w:val="28"/>
        </w:rPr>
      </w:pPr>
    </w:p>
    <w:p>
      <w:pPr>
        <w:snapToGrid w:val="0"/>
        <w:spacing w:line="360" w:lineRule="auto"/>
        <w:ind w:firstLine="560"/>
        <w:jc w:val="left"/>
        <w:textAlignment w:val="baseline"/>
        <w:rPr>
          <w:rFonts w:hint="eastAsia"/>
          <w:sz w:val="28"/>
          <w:szCs w:val="28"/>
          <w:lang w:val="en-US" w:eastAsia="zh-CN"/>
        </w:rPr>
      </w:pPr>
    </w:p>
    <w:p>
      <w:pPr>
        <w:snapToGrid w:val="0"/>
        <w:spacing w:line="360" w:lineRule="auto"/>
        <w:ind w:firstLine="560"/>
        <w:jc w:val="left"/>
        <w:textAlignment w:val="baseline"/>
        <w:rPr>
          <w:rFonts w:hint="eastAsia"/>
          <w:sz w:val="28"/>
          <w:szCs w:val="28"/>
        </w:rPr>
      </w:pPr>
      <w:r>
        <w:rPr>
          <w:rFonts w:hint="eastAsia"/>
          <w:sz w:val="28"/>
          <w:szCs w:val="28"/>
        </w:rPr>
        <w:t>学院研究生学位点建设、培养规模、培养层次、培养质量、教育竞争力和国际化水平均显著提高。2018年获批教育学一级学科和教育硕士授权点后，2018年首次招收国际留学研究生17名；2019年招收国内研究生84名，学院</w:t>
      </w:r>
      <w:r>
        <w:rPr>
          <w:rFonts w:hint="eastAsia"/>
          <w:sz w:val="28"/>
          <w:szCs w:val="28"/>
          <w:lang w:val="en-US" w:eastAsia="zh-CN"/>
        </w:rPr>
        <w:t>的</w:t>
      </w:r>
      <w:r>
        <w:rPr>
          <w:rFonts w:hint="eastAsia"/>
          <w:sz w:val="28"/>
          <w:szCs w:val="28"/>
        </w:rPr>
        <w:t>研究生招生数量不断增加，截止2020年9月，教师教育学院共招生国际国内各类硕士研究生297人。研究生培养机制改革积极推进，研究生教育创新与实践教学建设全面展开。</w:t>
      </w:r>
    </w:p>
    <w:p>
      <w:pPr>
        <w:snapToGrid w:val="0"/>
        <w:spacing w:line="360" w:lineRule="auto"/>
        <w:ind w:firstLine="560"/>
        <w:jc w:val="left"/>
        <w:textAlignment w:val="baseline"/>
        <w:rPr>
          <w:rFonts w:hint="eastAsia"/>
          <w:sz w:val="28"/>
          <w:szCs w:val="28"/>
        </w:rPr>
      </w:pPr>
      <w:r>
        <w:rPr>
          <w:rFonts w:hint="eastAsia"/>
          <w:sz w:val="28"/>
          <w:szCs w:val="28"/>
          <w:lang w:eastAsia="zh-CN"/>
        </w:rPr>
        <w:t>近五年</w:t>
      </w:r>
      <w:r>
        <w:rPr>
          <w:rFonts w:hint="eastAsia"/>
          <w:sz w:val="28"/>
          <w:szCs w:val="28"/>
          <w:lang w:val="en-US" w:eastAsia="zh-CN"/>
        </w:rPr>
        <w:t>来</w:t>
      </w:r>
      <w:r>
        <w:rPr>
          <w:rFonts w:hint="eastAsia"/>
          <w:sz w:val="28"/>
          <w:szCs w:val="28"/>
          <w:lang w:eastAsia="zh-CN"/>
        </w:rPr>
        <w:t>，学生积极参加学科竞赛，</w:t>
      </w:r>
      <w:r>
        <w:rPr>
          <w:rFonts w:hint="default"/>
          <w:sz w:val="28"/>
          <w:szCs w:val="28"/>
          <w:lang w:val="en-US" w:eastAsia="zh-CN"/>
        </w:rPr>
        <w:t>参与率</w:t>
      </w:r>
      <w:r>
        <w:rPr>
          <w:rFonts w:hint="eastAsia"/>
          <w:sz w:val="28"/>
          <w:szCs w:val="28"/>
          <w:lang w:val="en-US" w:eastAsia="zh-CN"/>
        </w:rPr>
        <w:t>保持在60%以上，获</w:t>
      </w:r>
      <w:r>
        <w:rPr>
          <w:rFonts w:hint="eastAsia"/>
          <w:sz w:val="28"/>
          <w:szCs w:val="28"/>
        </w:rPr>
        <w:t>A类</w:t>
      </w:r>
      <w:r>
        <w:rPr>
          <w:rFonts w:hint="eastAsia"/>
          <w:sz w:val="28"/>
          <w:szCs w:val="28"/>
          <w:lang w:eastAsia="zh-CN"/>
        </w:rPr>
        <w:t>学科竞赛</w:t>
      </w:r>
      <w:r>
        <w:rPr>
          <w:rFonts w:hint="eastAsia"/>
          <w:sz w:val="28"/>
          <w:szCs w:val="28"/>
        </w:rPr>
        <w:t>省级一等奖及以上奖项（项）</w:t>
      </w:r>
      <w:r>
        <w:rPr>
          <w:rFonts w:hint="eastAsia"/>
          <w:sz w:val="28"/>
          <w:szCs w:val="28"/>
          <w:lang w:val="en-US" w:eastAsia="zh-CN"/>
        </w:rPr>
        <w:t>18项，本科生发表论文（篇）113篇，考编率一直维持在60%以上，</w:t>
      </w:r>
      <w:r>
        <w:rPr>
          <w:rFonts w:hint="default"/>
          <w:sz w:val="28"/>
          <w:szCs w:val="28"/>
          <w:lang w:val="en-US" w:eastAsia="zh-CN"/>
        </w:rPr>
        <w:t>国内外读研</w:t>
      </w:r>
      <w:r>
        <w:rPr>
          <w:rFonts w:hint="eastAsia"/>
          <w:sz w:val="28"/>
          <w:szCs w:val="28"/>
          <w:lang w:val="en-US" w:eastAsia="zh-CN"/>
        </w:rPr>
        <w:t>保持1%的增长速度。</w:t>
      </w:r>
    </w:p>
    <w:p>
      <w:pPr>
        <w:snapToGrid w:val="0"/>
        <w:spacing w:line="360" w:lineRule="auto"/>
        <w:ind w:firstLine="562" w:firstLineChars="200"/>
        <w:jc w:val="left"/>
        <w:textAlignment w:val="baseline"/>
        <w:rPr>
          <w:rFonts w:hint="default" w:eastAsiaTheme="minorEastAsia"/>
          <w:b/>
          <w:bCs/>
          <w:sz w:val="28"/>
          <w:szCs w:val="28"/>
          <w:lang w:val="en-US" w:eastAsia="zh-CN"/>
        </w:rPr>
      </w:pPr>
      <w:r>
        <w:rPr>
          <w:rFonts w:hint="eastAsia"/>
          <w:b/>
          <w:bCs/>
          <w:sz w:val="28"/>
          <w:szCs w:val="28"/>
        </w:rPr>
        <w:t>2.师资队伍</w:t>
      </w:r>
      <w:r>
        <w:rPr>
          <w:rFonts w:hint="eastAsia"/>
          <w:b/>
          <w:bCs/>
          <w:sz w:val="28"/>
          <w:szCs w:val="28"/>
          <w:lang w:val="en-US" w:eastAsia="zh-CN"/>
        </w:rPr>
        <w:t>不断壮大</w:t>
      </w:r>
    </w:p>
    <w:p>
      <w:pPr>
        <w:snapToGrid w:val="0"/>
        <w:spacing w:line="360" w:lineRule="auto"/>
        <w:ind w:firstLine="560" w:firstLineChars="200"/>
        <w:jc w:val="left"/>
        <w:textAlignment w:val="baseline"/>
        <w:rPr>
          <w:rFonts w:hint="eastAsia"/>
          <w:sz w:val="28"/>
          <w:szCs w:val="28"/>
        </w:rPr>
      </w:pPr>
      <w:r>
        <w:rPr>
          <w:rFonts w:hint="eastAsia"/>
          <w:sz w:val="28"/>
          <w:szCs w:val="28"/>
        </w:rPr>
        <w:t>202</w:t>
      </w:r>
      <w:r>
        <w:rPr>
          <w:rFonts w:hint="eastAsia"/>
          <w:sz w:val="28"/>
          <w:szCs w:val="28"/>
          <w:lang w:val="en-US" w:eastAsia="zh-CN"/>
        </w:rPr>
        <w:t>0</w:t>
      </w:r>
      <w:r>
        <w:rPr>
          <w:rFonts w:hint="eastAsia"/>
          <w:sz w:val="28"/>
          <w:szCs w:val="28"/>
        </w:rPr>
        <w:t>年底，学院有教职工1</w:t>
      </w:r>
      <w:r>
        <w:rPr>
          <w:rFonts w:hint="eastAsia"/>
          <w:sz w:val="28"/>
          <w:szCs w:val="28"/>
          <w:lang w:val="en-US" w:eastAsia="zh-CN"/>
        </w:rPr>
        <w:t>06</w:t>
      </w:r>
      <w:r>
        <w:rPr>
          <w:rFonts w:hint="eastAsia"/>
          <w:sz w:val="28"/>
          <w:szCs w:val="28"/>
        </w:rPr>
        <w:t>人。其中专任教师</w:t>
      </w:r>
      <w:r>
        <w:rPr>
          <w:rFonts w:hint="eastAsia"/>
          <w:sz w:val="28"/>
          <w:szCs w:val="28"/>
          <w:lang w:val="en-US" w:eastAsia="zh-CN"/>
        </w:rPr>
        <w:t>83</w:t>
      </w:r>
      <w:r>
        <w:rPr>
          <w:rFonts w:hint="eastAsia"/>
          <w:sz w:val="28"/>
          <w:szCs w:val="28"/>
        </w:rPr>
        <w:t>人，博士（含在读2人）</w:t>
      </w:r>
      <w:r>
        <w:rPr>
          <w:rFonts w:hint="eastAsia"/>
          <w:sz w:val="28"/>
          <w:szCs w:val="28"/>
          <w:lang w:val="en-US" w:eastAsia="zh-CN"/>
        </w:rPr>
        <w:t>45</w:t>
      </w:r>
      <w:r>
        <w:rPr>
          <w:rFonts w:hint="eastAsia"/>
          <w:sz w:val="28"/>
          <w:szCs w:val="28"/>
        </w:rPr>
        <w:t>人（占比</w:t>
      </w:r>
      <w:r>
        <w:rPr>
          <w:rFonts w:hint="eastAsia"/>
          <w:sz w:val="28"/>
          <w:szCs w:val="28"/>
          <w:lang w:val="en-US" w:eastAsia="zh-CN"/>
        </w:rPr>
        <w:t>54</w:t>
      </w:r>
      <w:r>
        <w:rPr>
          <w:rFonts w:hint="eastAsia"/>
          <w:sz w:val="28"/>
          <w:szCs w:val="28"/>
        </w:rPr>
        <w:t>%）</w:t>
      </w:r>
      <w:r>
        <w:rPr>
          <w:rFonts w:hint="eastAsia"/>
          <w:sz w:val="28"/>
          <w:szCs w:val="28"/>
          <w:lang w:eastAsia="zh-CN"/>
        </w:rPr>
        <w:t>，</w:t>
      </w:r>
      <w:r>
        <w:rPr>
          <w:rFonts w:hint="eastAsia"/>
          <w:sz w:val="28"/>
          <w:szCs w:val="28"/>
        </w:rPr>
        <w:t>高级职称（教授/研究员）1</w:t>
      </w:r>
      <w:r>
        <w:rPr>
          <w:rFonts w:hint="eastAsia"/>
          <w:sz w:val="28"/>
          <w:szCs w:val="28"/>
          <w:lang w:val="en-US" w:eastAsia="zh-CN"/>
        </w:rPr>
        <w:t>3</w:t>
      </w:r>
      <w:r>
        <w:rPr>
          <w:rFonts w:hint="eastAsia"/>
          <w:sz w:val="28"/>
          <w:szCs w:val="28"/>
        </w:rPr>
        <w:t>人</w:t>
      </w:r>
      <w:r>
        <w:rPr>
          <w:rFonts w:hint="eastAsia"/>
          <w:sz w:val="28"/>
          <w:szCs w:val="28"/>
          <w:lang w:val="en-US" w:eastAsia="zh-CN"/>
        </w:rPr>
        <w:t>（占比12%）</w:t>
      </w:r>
      <w:r>
        <w:rPr>
          <w:rFonts w:hint="eastAsia"/>
          <w:sz w:val="28"/>
          <w:szCs w:val="28"/>
        </w:rPr>
        <w:t>，副高职称（副教授/副研究员）</w:t>
      </w:r>
      <w:r>
        <w:rPr>
          <w:rFonts w:hint="eastAsia"/>
          <w:sz w:val="28"/>
          <w:szCs w:val="28"/>
          <w:lang w:val="en-US" w:eastAsia="zh-CN"/>
        </w:rPr>
        <w:t>34</w:t>
      </w:r>
      <w:r>
        <w:rPr>
          <w:rFonts w:hint="eastAsia"/>
          <w:sz w:val="28"/>
          <w:szCs w:val="28"/>
        </w:rPr>
        <w:t>人（占比</w:t>
      </w:r>
      <w:r>
        <w:rPr>
          <w:rFonts w:hint="eastAsia"/>
          <w:sz w:val="28"/>
          <w:szCs w:val="28"/>
          <w:lang w:val="en-US" w:eastAsia="zh-CN"/>
        </w:rPr>
        <w:t>32</w:t>
      </w:r>
      <w:r>
        <w:rPr>
          <w:rFonts w:hint="eastAsia"/>
          <w:sz w:val="28"/>
          <w:szCs w:val="28"/>
        </w:rPr>
        <w:t>%），中级职称（讲师）4</w:t>
      </w:r>
      <w:r>
        <w:rPr>
          <w:rFonts w:hint="eastAsia"/>
          <w:sz w:val="28"/>
          <w:szCs w:val="28"/>
          <w:lang w:val="en-US" w:eastAsia="zh-CN"/>
        </w:rPr>
        <w:t>5</w:t>
      </w:r>
      <w:r>
        <w:rPr>
          <w:rFonts w:hint="eastAsia"/>
          <w:sz w:val="28"/>
          <w:szCs w:val="28"/>
        </w:rPr>
        <w:t>人（占比</w:t>
      </w:r>
      <w:r>
        <w:rPr>
          <w:rFonts w:hint="eastAsia"/>
          <w:sz w:val="28"/>
          <w:szCs w:val="28"/>
          <w:lang w:val="en-US" w:eastAsia="zh-CN"/>
        </w:rPr>
        <w:t>42</w:t>
      </w:r>
      <w:r>
        <w:rPr>
          <w:rFonts w:hint="eastAsia"/>
          <w:sz w:val="28"/>
          <w:szCs w:val="28"/>
        </w:rPr>
        <w:t>%），博士生导师3人，硕士生导师</w:t>
      </w:r>
      <w:r>
        <w:rPr>
          <w:rFonts w:hint="eastAsia"/>
          <w:sz w:val="28"/>
          <w:szCs w:val="28"/>
          <w:lang w:val="en-US" w:eastAsia="zh-CN"/>
        </w:rPr>
        <w:t>36</w:t>
      </w:r>
      <w:r>
        <w:rPr>
          <w:rFonts w:hint="eastAsia"/>
          <w:sz w:val="28"/>
          <w:szCs w:val="28"/>
        </w:rPr>
        <w:t>人。55岁以上教师13人（占比1</w:t>
      </w:r>
      <w:r>
        <w:rPr>
          <w:rFonts w:hint="eastAsia"/>
          <w:sz w:val="28"/>
          <w:szCs w:val="28"/>
          <w:lang w:val="en-US" w:eastAsia="zh-CN"/>
        </w:rPr>
        <w:t>2</w:t>
      </w:r>
      <w:r>
        <w:rPr>
          <w:rFonts w:hint="eastAsia"/>
          <w:sz w:val="28"/>
          <w:szCs w:val="28"/>
        </w:rPr>
        <w:t>%），45—55岁教师2</w:t>
      </w:r>
      <w:r>
        <w:rPr>
          <w:rFonts w:hint="eastAsia"/>
          <w:sz w:val="28"/>
          <w:szCs w:val="28"/>
          <w:lang w:val="en-US" w:eastAsia="zh-CN"/>
        </w:rPr>
        <w:t>4</w:t>
      </w:r>
      <w:r>
        <w:rPr>
          <w:rFonts w:hint="eastAsia"/>
          <w:sz w:val="28"/>
          <w:szCs w:val="28"/>
        </w:rPr>
        <w:t>人（占比2</w:t>
      </w:r>
      <w:r>
        <w:rPr>
          <w:rFonts w:hint="eastAsia"/>
          <w:sz w:val="28"/>
          <w:szCs w:val="28"/>
          <w:lang w:val="en-US" w:eastAsia="zh-CN"/>
        </w:rPr>
        <w:t>3</w:t>
      </w:r>
      <w:r>
        <w:rPr>
          <w:rFonts w:hint="eastAsia"/>
          <w:sz w:val="28"/>
          <w:szCs w:val="28"/>
        </w:rPr>
        <w:t>%），45岁以下教师</w:t>
      </w:r>
      <w:r>
        <w:rPr>
          <w:rFonts w:hint="eastAsia"/>
          <w:sz w:val="28"/>
          <w:szCs w:val="28"/>
          <w:lang w:val="en-US" w:eastAsia="zh-CN"/>
        </w:rPr>
        <w:t>69</w:t>
      </w:r>
      <w:r>
        <w:rPr>
          <w:rFonts w:hint="eastAsia"/>
          <w:sz w:val="28"/>
          <w:szCs w:val="28"/>
        </w:rPr>
        <w:t>人（占比6</w:t>
      </w:r>
      <w:r>
        <w:rPr>
          <w:rFonts w:hint="eastAsia"/>
          <w:sz w:val="28"/>
          <w:szCs w:val="28"/>
          <w:lang w:val="en-US" w:eastAsia="zh-CN"/>
        </w:rPr>
        <w:t>5</w:t>
      </w:r>
      <w:r>
        <w:rPr>
          <w:rFonts w:hint="eastAsia"/>
          <w:sz w:val="28"/>
          <w:szCs w:val="28"/>
        </w:rPr>
        <w:t>%）。男性专任教师</w:t>
      </w:r>
      <w:r>
        <w:rPr>
          <w:rFonts w:hint="eastAsia"/>
          <w:sz w:val="28"/>
          <w:szCs w:val="28"/>
          <w:lang w:val="en-US" w:eastAsia="zh-CN"/>
        </w:rPr>
        <w:t>39</w:t>
      </w:r>
      <w:r>
        <w:rPr>
          <w:rFonts w:hint="eastAsia"/>
          <w:sz w:val="28"/>
          <w:szCs w:val="28"/>
        </w:rPr>
        <w:t>人，女性专任教师</w:t>
      </w:r>
      <w:r>
        <w:rPr>
          <w:rFonts w:hint="eastAsia"/>
          <w:sz w:val="28"/>
          <w:szCs w:val="28"/>
          <w:lang w:val="en-US" w:eastAsia="zh-CN"/>
        </w:rPr>
        <w:t>44</w:t>
      </w:r>
      <w:r>
        <w:rPr>
          <w:rFonts w:hint="eastAsia"/>
          <w:sz w:val="28"/>
          <w:szCs w:val="28"/>
        </w:rPr>
        <w:t>人，师资结构、性别比例不断优化。</w:t>
      </w:r>
    </w:p>
    <w:p>
      <w:pPr>
        <w:snapToGrid w:val="0"/>
        <w:spacing w:line="360" w:lineRule="auto"/>
        <w:ind w:firstLine="562" w:firstLineChars="200"/>
        <w:jc w:val="left"/>
        <w:textAlignment w:val="baseline"/>
        <w:rPr>
          <w:rFonts w:hint="default" w:eastAsiaTheme="minorEastAsia"/>
          <w:sz w:val="28"/>
          <w:szCs w:val="28"/>
          <w:lang w:val="en-US" w:eastAsia="zh-CN"/>
        </w:rPr>
      </w:pPr>
      <w:r>
        <w:rPr>
          <w:rFonts w:hint="eastAsia"/>
          <w:b/>
          <w:bCs/>
          <w:sz w:val="28"/>
          <w:szCs w:val="28"/>
        </w:rPr>
        <w:t>3.学科</w:t>
      </w:r>
      <w:r>
        <w:rPr>
          <w:rFonts w:hint="eastAsia"/>
          <w:b/>
          <w:bCs/>
          <w:sz w:val="28"/>
          <w:szCs w:val="28"/>
          <w:lang w:val="en-US" w:eastAsia="zh-CN"/>
        </w:rPr>
        <w:t>与</w:t>
      </w:r>
      <w:r>
        <w:rPr>
          <w:rFonts w:hint="eastAsia"/>
          <w:b/>
          <w:bCs/>
          <w:sz w:val="28"/>
          <w:szCs w:val="28"/>
        </w:rPr>
        <w:t>专业建设</w:t>
      </w:r>
      <w:r>
        <w:rPr>
          <w:rFonts w:hint="eastAsia"/>
          <w:b/>
          <w:bCs/>
          <w:sz w:val="28"/>
          <w:szCs w:val="28"/>
          <w:lang w:val="en-US" w:eastAsia="zh-CN"/>
        </w:rPr>
        <w:t>的层次得到提高</w:t>
      </w:r>
    </w:p>
    <w:p>
      <w:pPr>
        <w:snapToGrid w:val="0"/>
        <w:spacing w:line="360" w:lineRule="auto"/>
        <w:ind w:firstLine="560" w:firstLineChars="200"/>
        <w:jc w:val="left"/>
        <w:textAlignment w:val="baseline"/>
        <w:rPr>
          <w:rFonts w:hint="eastAsia"/>
          <w:sz w:val="28"/>
          <w:szCs w:val="28"/>
        </w:rPr>
      </w:pPr>
      <w:r>
        <w:rPr>
          <w:rFonts w:hint="eastAsia"/>
          <w:sz w:val="28"/>
          <w:szCs w:val="28"/>
        </w:rPr>
        <w:t>学院设有小学教育、学前教育、教育技术、应用心理四个本科专业，一个学前教育（师范）专科。</w:t>
      </w:r>
      <w:r>
        <w:rPr>
          <w:rFonts w:hint="eastAsia"/>
          <w:sz w:val="28"/>
          <w:szCs w:val="28"/>
          <w:lang w:eastAsia="zh-CN"/>
        </w:rPr>
        <w:t>“</w:t>
      </w:r>
      <w:r>
        <w:rPr>
          <w:rFonts w:hint="eastAsia"/>
          <w:sz w:val="28"/>
          <w:szCs w:val="28"/>
          <w:lang w:val="en-US" w:eastAsia="zh-CN"/>
        </w:rPr>
        <w:t>十三五”期间，</w:t>
      </w:r>
      <w:r>
        <w:rPr>
          <w:rFonts w:hint="eastAsia"/>
          <w:sz w:val="28"/>
          <w:szCs w:val="28"/>
        </w:rPr>
        <w:t>学院</w:t>
      </w:r>
      <w:r>
        <w:rPr>
          <w:rFonts w:hint="eastAsia"/>
          <w:sz w:val="28"/>
          <w:szCs w:val="28"/>
          <w:lang w:val="en-US" w:eastAsia="zh-CN"/>
        </w:rPr>
        <w:t>继续</w:t>
      </w:r>
      <w:r>
        <w:rPr>
          <w:rFonts w:hint="eastAsia"/>
          <w:sz w:val="28"/>
          <w:szCs w:val="28"/>
        </w:rPr>
        <w:t>与宁波大学联合培养教育硕士，共培养教育硕士91名。2016年，学院被教育部批准与美国北科罗拉多大学合作举办学前教育（师范）本科教育项目。2018年，学院获批教育学一级学科硕士学位授予点、教育硕士</w:t>
      </w:r>
      <w:r>
        <w:rPr>
          <w:rFonts w:hint="eastAsia"/>
          <w:sz w:val="28"/>
          <w:szCs w:val="28"/>
          <w:lang w:val="en-US" w:eastAsia="zh-CN"/>
        </w:rPr>
        <w:t>专业</w:t>
      </w:r>
      <w:r>
        <w:rPr>
          <w:rFonts w:hint="eastAsia"/>
          <w:sz w:val="28"/>
          <w:szCs w:val="28"/>
        </w:rPr>
        <w:t>学位授予点。</w:t>
      </w:r>
    </w:p>
    <w:p>
      <w:pPr>
        <w:snapToGrid w:val="0"/>
        <w:spacing w:line="360" w:lineRule="auto"/>
        <w:ind w:firstLine="560" w:firstLineChars="200"/>
        <w:jc w:val="left"/>
        <w:textAlignment w:val="baseline"/>
        <w:rPr>
          <w:sz w:val="28"/>
          <w:szCs w:val="28"/>
        </w:rPr>
      </w:pPr>
      <w:r>
        <w:rPr>
          <w:rFonts w:hint="eastAsia"/>
          <w:sz w:val="28"/>
          <w:szCs w:val="28"/>
        </w:rPr>
        <w:t>小学教育专业位居全国同类专业前列，入选浙江省一流专业建设点，获批浙江省“十三五”优势专业建设项目；学前教育专业拓展国外合作办学取得初步成果；教育技术</w:t>
      </w:r>
      <w:r>
        <w:rPr>
          <w:rFonts w:hint="eastAsia"/>
          <w:sz w:val="28"/>
          <w:szCs w:val="28"/>
          <w:lang w:val="en-US" w:eastAsia="zh-CN"/>
        </w:rPr>
        <w:t>学</w:t>
      </w:r>
      <w:r>
        <w:rPr>
          <w:rFonts w:hint="eastAsia"/>
          <w:sz w:val="28"/>
          <w:szCs w:val="28"/>
        </w:rPr>
        <w:t>专业和应用心理学专业建设工作扎实有效，学院入选浙江省教师教育基地、浙江省卓越教师培养项目。2020年小学教育和学前教育专业通过教育部专业认证。</w:t>
      </w:r>
    </w:p>
    <w:p>
      <w:pPr>
        <w:snapToGrid w:val="0"/>
        <w:spacing w:line="360" w:lineRule="auto"/>
        <w:ind w:firstLine="562" w:firstLineChars="200"/>
        <w:jc w:val="left"/>
        <w:textAlignment w:val="baseline"/>
        <w:rPr>
          <w:rFonts w:hint="default" w:eastAsiaTheme="minorEastAsia"/>
          <w:sz w:val="28"/>
          <w:szCs w:val="28"/>
          <w:lang w:val="en-US" w:eastAsia="zh-CN"/>
        </w:rPr>
      </w:pPr>
      <w:r>
        <w:rPr>
          <w:rFonts w:hint="eastAsia"/>
          <w:b/>
          <w:bCs/>
          <w:sz w:val="28"/>
          <w:szCs w:val="28"/>
        </w:rPr>
        <w:t>4.教</w:t>
      </w:r>
      <w:r>
        <w:rPr>
          <w:rFonts w:hint="eastAsia"/>
          <w:b/>
          <w:bCs/>
          <w:sz w:val="28"/>
          <w:szCs w:val="28"/>
          <w:lang w:val="en-US" w:eastAsia="zh-CN"/>
        </w:rPr>
        <w:t>研与</w:t>
      </w:r>
      <w:r>
        <w:rPr>
          <w:rFonts w:hint="eastAsia"/>
          <w:b/>
          <w:bCs/>
          <w:sz w:val="28"/>
          <w:szCs w:val="28"/>
        </w:rPr>
        <w:t>科研</w:t>
      </w:r>
      <w:r>
        <w:rPr>
          <w:rFonts w:hint="eastAsia"/>
          <w:b/>
          <w:bCs/>
          <w:sz w:val="28"/>
          <w:szCs w:val="28"/>
          <w:lang w:val="en-US" w:eastAsia="zh-CN"/>
        </w:rPr>
        <w:t>进步明显</w:t>
      </w:r>
    </w:p>
    <w:p>
      <w:pPr>
        <w:snapToGrid w:val="0"/>
        <w:spacing w:line="360" w:lineRule="auto"/>
        <w:ind w:firstLine="560" w:firstLineChars="200"/>
        <w:jc w:val="left"/>
        <w:textAlignment w:val="baseline"/>
        <w:rPr>
          <w:rFonts w:ascii="宋体" w:hAnsi="宋体" w:eastAsia="宋体" w:cs="宋体"/>
          <w:sz w:val="28"/>
          <w:szCs w:val="28"/>
        </w:rPr>
      </w:pPr>
      <w:r>
        <w:rPr>
          <w:rFonts w:hint="eastAsia" w:ascii="宋体" w:hAnsi="宋体" w:eastAsia="宋体" w:cs="宋体"/>
          <w:sz w:val="28"/>
          <w:szCs w:val="28"/>
          <w:lang w:val="en-US" w:eastAsia="zh-CN"/>
        </w:rPr>
        <w:t>与“十二五”相比，</w:t>
      </w:r>
      <w:r>
        <w:rPr>
          <w:rFonts w:hint="eastAsia" w:ascii="宋体" w:hAnsi="宋体" w:eastAsia="宋体" w:cs="宋体"/>
          <w:sz w:val="28"/>
          <w:szCs w:val="28"/>
        </w:rPr>
        <w:t>“十三五”期间学院教师获得各类教学成果奖22项，其中省级以上5项，包括省高等教育教学成果二等奖1项、省本科院校“互联网+教学”优秀案例（线上线下混合课程）一、二等奖各1项、省高校微课教学比赛一等奖1项，以及省本科院校“互联网+教学”示范课堂1项；校级名师工作室1个，校级教学名师和教坛新秀4人，校级教学成果一等奖4项和二等奖2项，青年教师教学技能竞赛二等奖和三等奖各3项。获校陆增镛教师奖5人、胡瑗卓越管理奖2次。</w:t>
      </w:r>
    </w:p>
    <w:p>
      <w:pPr>
        <w:snapToGrid w:val="0"/>
        <w:spacing w:line="360" w:lineRule="auto"/>
        <w:ind w:firstLine="560" w:firstLineChars="200"/>
        <w:jc w:val="left"/>
        <w:textAlignment w:val="baseline"/>
        <w:rPr>
          <w:rFonts w:ascii="宋体" w:hAnsi="宋体" w:eastAsia="宋体" w:cs="宋体"/>
          <w:sz w:val="28"/>
          <w:szCs w:val="28"/>
        </w:rPr>
      </w:pPr>
      <w:r>
        <w:rPr>
          <w:rFonts w:hint="eastAsia" w:ascii="宋体" w:hAnsi="宋体" w:eastAsia="宋体" w:cs="宋体"/>
          <w:sz w:val="28"/>
          <w:szCs w:val="28"/>
        </w:rPr>
        <w:t>学院教师主持各类教学改革项目</w:t>
      </w:r>
      <w:r>
        <w:rPr>
          <w:rFonts w:hint="eastAsia" w:ascii="宋体" w:hAnsi="宋体" w:eastAsia="宋体" w:cs="宋体"/>
          <w:sz w:val="28"/>
          <w:szCs w:val="28"/>
          <w:lang w:val="en-US" w:eastAsia="zh-CN"/>
        </w:rPr>
        <w:t>40</w:t>
      </w:r>
      <w:r>
        <w:rPr>
          <w:rFonts w:hint="eastAsia" w:ascii="宋体" w:hAnsi="宋体" w:eastAsia="宋体" w:cs="宋体"/>
          <w:sz w:val="28"/>
          <w:szCs w:val="28"/>
        </w:rPr>
        <w:t>项，其中省教改项目1</w:t>
      </w:r>
      <w:r>
        <w:rPr>
          <w:rFonts w:hint="eastAsia" w:ascii="宋体" w:hAnsi="宋体" w:eastAsia="宋体" w:cs="宋体"/>
          <w:sz w:val="28"/>
          <w:szCs w:val="28"/>
          <w:lang w:val="en-US" w:eastAsia="zh-CN"/>
        </w:rPr>
        <w:t>6</w:t>
      </w:r>
      <w:r>
        <w:rPr>
          <w:rFonts w:hint="eastAsia" w:ascii="宋体" w:hAnsi="宋体" w:eastAsia="宋体" w:cs="宋体"/>
          <w:sz w:val="28"/>
          <w:szCs w:val="28"/>
        </w:rPr>
        <w:t>项，省师范教育创新工程建设项目2项。主持各类教材建设项目13项，其中省级新形态教材建设项目4项。主持各类课程建设项目33项，其中省精品在线开放课程1项、省一流课程3项。</w:t>
      </w:r>
    </w:p>
    <w:p>
      <w:pPr>
        <w:snapToGrid w:val="0"/>
        <w:spacing w:line="360" w:lineRule="auto"/>
        <w:ind w:firstLine="560" w:firstLineChars="200"/>
        <w:jc w:val="left"/>
        <w:textAlignment w:val="baseline"/>
        <w:rPr>
          <w:rFonts w:hint="eastAsia" w:ascii="宋体" w:hAnsi="宋体" w:eastAsia="宋体" w:cs="宋体"/>
          <w:sz w:val="28"/>
          <w:szCs w:val="28"/>
        </w:rPr>
      </w:pPr>
      <w:r>
        <w:rPr>
          <w:rFonts w:hint="eastAsia" w:ascii="宋体" w:hAnsi="宋体" w:eastAsia="宋体" w:cs="宋体"/>
          <w:sz w:val="28"/>
          <w:szCs w:val="28"/>
        </w:rPr>
        <w:t>“十三五”期间，学院科学研究获得较快发展，学院教师共发表各类科研文章180余篇，其中权威级期刊15篇，一级期刊26篇，二级核心期刊71篇，在中国</w:t>
      </w:r>
      <w:r>
        <w:rPr>
          <w:rFonts w:hint="eastAsia" w:ascii="宋体" w:hAnsi="宋体" w:eastAsia="宋体" w:cs="宋体"/>
          <w:sz w:val="28"/>
          <w:szCs w:val="28"/>
          <w:lang w:eastAsia="zh-CN"/>
        </w:rPr>
        <w:t>社会</w:t>
      </w:r>
      <w:r>
        <w:rPr>
          <w:rFonts w:hint="eastAsia" w:ascii="宋体" w:hAnsi="宋体" w:eastAsia="宋体" w:cs="宋体"/>
          <w:sz w:val="28"/>
          <w:szCs w:val="28"/>
        </w:rPr>
        <w:t>科学出版社、浙江大学出版社、中国人民大学出版社出版著作17部。五年来学院科研水平达到历史最好水平</w:t>
      </w:r>
      <w:r>
        <w:rPr>
          <w:rFonts w:hint="eastAsia" w:ascii="宋体" w:hAnsi="宋体" w:eastAsia="宋体" w:cs="宋体"/>
          <w:sz w:val="28"/>
          <w:szCs w:val="28"/>
          <w:lang w:eastAsia="zh-CN"/>
        </w:rPr>
        <w:t>，</w:t>
      </w:r>
      <w:r>
        <w:rPr>
          <w:rFonts w:hint="eastAsia" w:ascii="宋体" w:hAnsi="宋体" w:eastAsia="宋体" w:cs="宋体"/>
          <w:sz w:val="28"/>
          <w:szCs w:val="28"/>
        </w:rPr>
        <w:t>共获得各类纵向横向科研项目142项，总经费860余万元。其中国家级项目5项，省部级项目22项，市厅级项目43项，横向项目59项。</w:t>
      </w:r>
    </w:p>
    <w:p>
      <w:pPr>
        <w:snapToGrid w:val="0"/>
        <w:spacing w:line="360" w:lineRule="auto"/>
        <w:ind w:firstLine="560" w:firstLineChars="200"/>
        <w:jc w:val="left"/>
        <w:textAlignment w:val="baseline"/>
        <w:rPr>
          <w:rFonts w:ascii="宋体" w:hAnsi="宋体" w:eastAsia="宋体" w:cs="宋体"/>
          <w:sz w:val="28"/>
          <w:szCs w:val="28"/>
        </w:rPr>
      </w:pPr>
      <w:r>
        <w:rPr>
          <w:rFonts w:hint="eastAsia" w:ascii="宋体" w:hAnsi="宋体" w:eastAsia="宋体" w:cs="宋体"/>
          <w:sz w:val="28"/>
          <w:szCs w:val="28"/>
        </w:rPr>
        <w:t>学院获教育部人文社会科学研究成果二等奖1项，浙江省哲学社会科学研究成果奖一等奖2项，三等奖2项。湖州市哲学社会科学研究成果奖二等奖2项，三等奖8项。3项研究报告获省部级领导、上级部门批示、采纳。学院承办国际、国内大型学术会议12场，邀请60余位国内外、港澳台等地的专家、学者来校作学术报告，学术交流日趋活跃。</w:t>
      </w:r>
    </w:p>
    <w:p>
      <w:pPr>
        <w:snapToGrid w:val="0"/>
        <w:spacing w:line="360" w:lineRule="auto"/>
        <w:ind w:firstLine="560"/>
        <w:jc w:val="left"/>
        <w:textAlignment w:val="baseline"/>
        <w:rPr>
          <w:rFonts w:hint="default" w:eastAsiaTheme="minorEastAsia"/>
          <w:b/>
          <w:bCs/>
          <w:sz w:val="28"/>
          <w:szCs w:val="28"/>
          <w:lang w:val="en-US" w:eastAsia="zh-CN"/>
        </w:rPr>
      </w:pPr>
      <w:r>
        <w:rPr>
          <w:rFonts w:hint="eastAsia"/>
          <w:b/>
          <w:bCs/>
          <w:sz w:val="28"/>
          <w:szCs w:val="28"/>
        </w:rPr>
        <w:t>5.服务地方</w:t>
      </w:r>
      <w:r>
        <w:rPr>
          <w:rFonts w:hint="eastAsia"/>
          <w:b/>
          <w:bCs/>
          <w:sz w:val="28"/>
          <w:szCs w:val="28"/>
          <w:lang w:val="en-US" w:eastAsia="zh-CN"/>
        </w:rPr>
        <w:t>的能力大幅提高</w:t>
      </w:r>
    </w:p>
    <w:p>
      <w:pPr>
        <w:snapToGrid w:val="0"/>
        <w:spacing w:line="360" w:lineRule="auto"/>
        <w:ind w:firstLine="560" w:firstLineChars="200"/>
        <w:jc w:val="left"/>
        <w:textAlignment w:val="baseline"/>
        <w:rPr>
          <w:b/>
          <w:color w:val="0033CC"/>
          <w:sz w:val="28"/>
          <w:szCs w:val="28"/>
        </w:rPr>
      </w:pPr>
      <w:r>
        <w:rPr>
          <w:rFonts w:hint="eastAsia"/>
          <w:sz w:val="28"/>
          <w:szCs w:val="28"/>
        </w:rPr>
        <w:t>2017-2020年间，学院共签署横向科研项目59项，到账经费610多万。与浙江省教育技术中心联合成立了浙江省教育信息化评价与应用研究中心，进一步拓展了服务领域，服务基础教育的能力逐步得到提高，服务领域逐渐扩大。</w:t>
      </w:r>
      <w:r>
        <w:rPr>
          <w:rFonts w:hint="eastAsia"/>
          <w:bCs/>
          <w:color w:val="000000" w:themeColor="text1"/>
          <w:sz w:val="28"/>
          <w:szCs w:val="28"/>
          <w14:textFill>
            <w14:solidFill>
              <w14:schemeClr w14:val="tx1"/>
            </w14:solidFill>
          </w14:textFill>
        </w:rPr>
        <w:t>基于乡村振兴与共同富裕的战略需求，以及全省乡村教育研究的现实需要，2019年浙江省教育厅在湖州师范学院设立了浙江省乡村教育研究中心。该研究中心在省教育厅指导下，立足浙江实际，着眼国内国际，系统梳理和分析研究我省乡村基础教育的历史、现状、存在问题及发展趋势，比较研究国外乡村教育发展轨迹，</w:t>
      </w:r>
      <w:r>
        <w:rPr>
          <w:rFonts w:hint="eastAsia"/>
          <w:bCs/>
          <w:color w:val="000000" w:themeColor="text1"/>
          <w:sz w:val="28"/>
          <w:szCs w:val="28"/>
          <w:lang w:val="en-US" w:eastAsia="zh-CN"/>
          <w14:textFill>
            <w14:solidFill>
              <w14:schemeClr w14:val="tx1"/>
            </w14:solidFill>
          </w14:textFill>
        </w:rPr>
        <w:t>努力</w:t>
      </w:r>
      <w:r>
        <w:rPr>
          <w:rFonts w:hint="eastAsia"/>
          <w:bCs/>
          <w:color w:val="000000" w:themeColor="text1"/>
          <w:sz w:val="28"/>
          <w:szCs w:val="28"/>
          <w14:textFill>
            <w14:solidFill>
              <w14:schemeClr w14:val="tx1"/>
            </w14:solidFill>
          </w14:textFill>
        </w:rPr>
        <w:t>破解我省基础教育面临现实问题。</w:t>
      </w:r>
    </w:p>
    <w:p>
      <w:pPr>
        <w:snapToGrid w:val="0"/>
        <w:spacing w:line="360" w:lineRule="auto"/>
        <w:ind w:firstLine="420" w:firstLineChars="150"/>
        <w:textAlignment w:val="baseline"/>
        <w:rPr>
          <w:rFonts w:hint="default" w:eastAsiaTheme="minorEastAsia"/>
          <w:bCs/>
          <w:color w:val="000000" w:themeColor="text1"/>
          <w:sz w:val="28"/>
          <w:szCs w:val="28"/>
          <w:lang w:val="en-US" w:eastAsia="zh-CN"/>
          <w14:textFill>
            <w14:solidFill>
              <w14:schemeClr w14:val="tx1"/>
            </w14:solidFill>
          </w14:textFill>
        </w:rPr>
      </w:pPr>
      <w:r>
        <w:rPr>
          <w:rFonts w:hint="eastAsia"/>
          <w:bCs/>
          <w:color w:val="000000" w:themeColor="text1"/>
          <w:sz w:val="28"/>
          <w:szCs w:val="28"/>
          <w14:textFill>
            <w14:solidFill>
              <w14:schemeClr w14:val="tx1"/>
            </w14:solidFill>
          </w14:textFill>
        </w:rPr>
        <w:t>2017-202</w:t>
      </w:r>
      <w:r>
        <w:rPr>
          <w:rFonts w:hint="eastAsia"/>
          <w:bCs/>
          <w:color w:val="000000" w:themeColor="text1"/>
          <w:sz w:val="28"/>
          <w:szCs w:val="28"/>
          <w:lang w:val="en-US" w:eastAsia="zh-CN"/>
          <w14:textFill>
            <w14:solidFill>
              <w14:schemeClr w14:val="tx1"/>
            </w14:solidFill>
          </w14:textFill>
        </w:rPr>
        <w:t>0</w:t>
      </w:r>
      <w:r>
        <w:rPr>
          <w:rFonts w:hint="eastAsia"/>
          <w:bCs/>
          <w:color w:val="000000" w:themeColor="text1"/>
          <w:sz w:val="28"/>
          <w:szCs w:val="28"/>
          <w14:textFill>
            <w14:solidFill>
              <w14:schemeClr w14:val="tx1"/>
            </w14:solidFill>
          </w14:textFill>
        </w:rPr>
        <w:t>年间，学院函授学历教育和非学历教育培训稳中有升，学院影响力持续扩大。学院开设学历+技能学前专科、成人函授本专科层次教育，在读学生共计1300余人，其中成人函授本专科层次教育700余人，学历+技能学前专科600余人；学院每年积极承办40余项省市中小学（幼儿园）教师专业发展各类培训项目，培训规模达到每年2300余人次。</w:t>
      </w:r>
      <w:r>
        <w:rPr>
          <w:rFonts w:hint="eastAsia"/>
          <w:bCs/>
          <w:color w:val="000000" w:themeColor="text1"/>
          <w:sz w:val="28"/>
          <w:szCs w:val="28"/>
          <w:lang w:val="en-US" w:eastAsia="zh-CN"/>
          <w14:textFill>
            <w14:solidFill>
              <w14:schemeClr w14:val="tx1"/>
            </w14:solidFill>
          </w14:textFill>
        </w:rPr>
        <w:t>承担</w:t>
      </w:r>
      <w:r>
        <w:rPr>
          <w:rFonts w:hint="eastAsia"/>
          <w:bCs/>
          <w:color w:val="000000" w:themeColor="text1"/>
          <w:sz w:val="28"/>
          <w:szCs w:val="28"/>
          <w14:textFill>
            <w14:solidFill>
              <w14:schemeClr w14:val="tx1"/>
            </w14:solidFill>
          </w14:textFill>
        </w:rPr>
        <w:t>浙江省教师专业发展培训项目</w:t>
      </w:r>
      <w:r>
        <w:rPr>
          <w:rFonts w:hint="eastAsia"/>
          <w:bCs/>
          <w:color w:val="000000" w:themeColor="text1"/>
          <w:sz w:val="28"/>
          <w:szCs w:val="28"/>
          <w:lang w:val="en-US" w:eastAsia="zh-CN"/>
          <w14:textFill>
            <w14:solidFill>
              <w14:schemeClr w14:val="tx1"/>
            </w14:solidFill>
          </w14:textFill>
        </w:rPr>
        <w:t>10</w:t>
      </w:r>
      <w:r>
        <w:rPr>
          <w:rFonts w:hint="eastAsia"/>
          <w:bCs/>
          <w:color w:val="000000" w:themeColor="text1"/>
          <w:sz w:val="28"/>
          <w:szCs w:val="28"/>
          <w14:textFill>
            <w14:solidFill>
              <w14:schemeClr w14:val="tx1"/>
            </w14:solidFill>
          </w14:textFill>
        </w:rPr>
        <w:t>0</w:t>
      </w:r>
      <w:r>
        <w:rPr>
          <w:rFonts w:hint="eastAsia"/>
          <w:bCs/>
          <w:color w:val="000000" w:themeColor="text1"/>
          <w:sz w:val="28"/>
          <w:szCs w:val="28"/>
          <w:lang w:val="en-US" w:eastAsia="zh-CN"/>
          <w14:textFill>
            <w14:solidFill>
              <w14:schemeClr w14:val="tx1"/>
            </w14:solidFill>
          </w14:textFill>
        </w:rPr>
        <w:t>多</w:t>
      </w:r>
      <w:r>
        <w:rPr>
          <w:rFonts w:hint="eastAsia"/>
          <w:bCs/>
          <w:color w:val="000000" w:themeColor="text1"/>
          <w:sz w:val="28"/>
          <w:szCs w:val="28"/>
          <w14:textFill>
            <w14:solidFill>
              <w14:schemeClr w14:val="tx1"/>
            </w14:solidFill>
          </w14:textFill>
        </w:rPr>
        <w:t>项</w:t>
      </w:r>
      <w:r>
        <w:rPr>
          <w:rFonts w:hint="eastAsia"/>
          <w:bCs/>
          <w:color w:val="000000" w:themeColor="text1"/>
          <w:sz w:val="28"/>
          <w:szCs w:val="28"/>
          <w:lang w:eastAsia="zh-CN"/>
          <w14:textFill>
            <w14:solidFill>
              <w14:schemeClr w14:val="tx1"/>
            </w14:solidFill>
          </w14:textFill>
        </w:rPr>
        <w:t>，</w:t>
      </w:r>
      <w:r>
        <w:rPr>
          <w:rFonts w:hint="eastAsia"/>
          <w:bCs/>
          <w:color w:val="000000" w:themeColor="text1"/>
          <w:sz w:val="28"/>
          <w:szCs w:val="28"/>
          <w14:textFill>
            <w14:solidFill>
              <w14:schemeClr w14:val="tx1"/>
            </w14:solidFill>
          </w14:textFill>
        </w:rPr>
        <w:t>湖州市教师培训项目</w:t>
      </w:r>
      <w:r>
        <w:rPr>
          <w:rFonts w:hint="eastAsia"/>
          <w:bCs/>
          <w:color w:val="000000" w:themeColor="text1"/>
          <w:sz w:val="28"/>
          <w:szCs w:val="28"/>
          <w:lang w:val="en-US" w:eastAsia="zh-CN"/>
          <w14:textFill>
            <w14:solidFill>
              <w14:schemeClr w14:val="tx1"/>
            </w14:solidFill>
          </w14:textFill>
        </w:rPr>
        <w:t>20多</w:t>
      </w:r>
      <w:r>
        <w:rPr>
          <w:rFonts w:hint="eastAsia"/>
          <w:bCs/>
          <w:color w:val="000000" w:themeColor="text1"/>
          <w:sz w:val="28"/>
          <w:szCs w:val="28"/>
          <w14:textFill>
            <w14:solidFill>
              <w14:schemeClr w14:val="tx1"/>
            </w14:solidFill>
          </w14:textFill>
        </w:rPr>
        <w:t>项</w:t>
      </w:r>
      <w:r>
        <w:rPr>
          <w:rFonts w:hint="eastAsia"/>
          <w:bCs/>
          <w:color w:val="000000" w:themeColor="text1"/>
          <w:sz w:val="28"/>
          <w:szCs w:val="28"/>
          <w:lang w:eastAsia="zh-CN"/>
          <w14:textFill>
            <w14:solidFill>
              <w14:schemeClr w14:val="tx1"/>
            </w14:solidFill>
          </w14:textFill>
        </w:rPr>
        <w:t>。</w:t>
      </w:r>
      <w:r>
        <w:rPr>
          <w:rFonts w:hint="eastAsia"/>
          <w:bCs/>
          <w:color w:val="000000" w:themeColor="text1"/>
          <w:sz w:val="28"/>
          <w:szCs w:val="28"/>
          <w14:textFill>
            <w14:solidFill>
              <w14:schemeClr w14:val="tx1"/>
            </w14:solidFill>
          </w14:textFill>
        </w:rPr>
        <w:t>创建学前教育职业技能培训与认定中心1个，开展育婴员、保育员培训和</w:t>
      </w:r>
      <w:r>
        <w:rPr>
          <w:rFonts w:hint="eastAsia"/>
          <w:bCs/>
          <w:color w:val="000000" w:themeColor="text1"/>
          <w:sz w:val="28"/>
          <w:szCs w:val="28"/>
          <w:lang w:val="en-US" w:eastAsia="zh-CN"/>
          <w14:textFill>
            <w14:solidFill>
              <w14:schemeClr w14:val="tx1"/>
            </w14:solidFill>
          </w14:textFill>
        </w:rPr>
        <w:t>资格认</w:t>
      </w:r>
      <w:r>
        <w:rPr>
          <w:rFonts w:hint="eastAsia"/>
          <w:bCs/>
          <w:color w:val="000000" w:themeColor="text1"/>
          <w:sz w:val="28"/>
          <w:szCs w:val="28"/>
          <w14:textFill>
            <w14:solidFill>
              <w14:schemeClr w14:val="tx1"/>
            </w14:solidFill>
          </w14:textFill>
        </w:rPr>
        <w:t>定。</w:t>
      </w:r>
      <w:r>
        <w:rPr>
          <w:rFonts w:hint="eastAsia"/>
          <w:bCs/>
          <w:color w:val="000000" w:themeColor="text1"/>
          <w:sz w:val="28"/>
          <w:szCs w:val="28"/>
          <w:lang w:val="en-US" w:eastAsia="zh-CN"/>
          <w14:textFill>
            <w14:solidFill>
              <w14:schemeClr w14:val="tx1"/>
            </w14:solidFill>
          </w14:textFill>
        </w:rPr>
        <w:t>2020年度教师教育学院继续教育毛收入约850万元。</w:t>
      </w:r>
    </w:p>
    <w:p>
      <w:pPr>
        <w:snapToGrid w:val="0"/>
        <w:spacing w:line="360" w:lineRule="auto"/>
        <w:ind w:firstLine="420" w:firstLineChars="150"/>
        <w:textAlignment w:val="baseline"/>
        <w:rPr>
          <w:bCs/>
          <w:color w:val="000000" w:themeColor="text1"/>
          <w:sz w:val="28"/>
          <w:szCs w:val="28"/>
          <w14:textFill>
            <w14:solidFill>
              <w14:schemeClr w14:val="tx1"/>
            </w14:solidFill>
          </w14:textFill>
        </w:rPr>
      </w:pPr>
      <w:r>
        <w:rPr>
          <w:rFonts w:hint="eastAsia"/>
          <w:bCs/>
          <w:color w:val="000000" w:themeColor="text1"/>
          <w:sz w:val="28"/>
          <w:szCs w:val="28"/>
          <w14:textFill>
            <w14:solidFill>
              <w14:schemeClr w14:val="tx1"/>
            </w14:solidFill>
          </w14:textFill>
        </w:rPr>
        <w:t>学院教师积极参与挂职锻炼，利用专业所长回报社会。“十三五”期间，学院共有30人挂职锻炼，其中全职挂职2人。主要去浙江省幼儿园，中小学、省教育厅教研室。主要担任浙江省教师发展学校副校长，兼职教研员，学科教师，教研室副主任等职。五年间，学院共有援疆教师3人，承担学科教学、教育管理等工作。</w:t>
      </w:r>
    </w:p>
    <w:p>
      <w:pPr>
        <w:snapToGrid w:val="0"/>
        <w:spacing w:line="360" w:lineRule="auto"/>
        <w:ind w:firstLine="422" w:firstLineChars="150"/>
        <w:textAlignment w:val="baseline"/>
        <w:rPr>
          <w:rFonts w:hint="default" w:eastAsiaTheme="minorEastAsia"/>
          <w:color w:val="auto"/>
          <w:sz w:val="28"/>
          <w:szCs w:val="28"/>
          <w:lang w:val="en-US" w:eastAsia="zh-CN"/>
        </w:rPr>
      </w:pPr>
      <w:r>
        <w:rPr>
          <w:rFonts w:hint="eastAsia"/>
          <w:b/>
          <w:color w:val="auto"/>
          <w:sz w:val="28"/>
          <w:szCs w:val="28"/>
        </w:rPr>
        <w:t>（二）存在问题</w:t>
      </w:r>
    </w:p>
    <w:p>
      <w:pPr>
        <w:snapToGrid w:val="0"/>
        <w:spacing w:line="360" w:lineRule="auto"/>
        <w:ind w:firstLine="560" w:firstLineChars="200"/>
        <w:jc w:val="left"/>
        <w:textAlignment w:val="baseline"/>
        <w:rPr>
          <w:rFonts w:hint="eastAsia" w:eastAsiaTheme="minorEastAsia"/>
          <w:sz w:val="28"/>
          <w:szCs w:val="28"/>
          <w:lang w:eastAsia="zh-CN"/>
        </w:rPr>
      </w:pPr>
      <w:r>
        <w:rPr>
          <w:rFonts w:hint="eastAsia"/>
          <w:sz w:val="28"/>
          <w:szCs w:val="28"/>
        </w:rPr>
        <w:t>“十四五”时期是完成习近平书记重要嘱托、实现学校“大学梦”的决胜期。我们要对照学校</w:t>
      </w:r>
      <w:r>
        <w:rPr>
          <w:rFonts w:hint="eastAsia"/>
          <w:sz w:val="28"/>
          <w:szCs w:val="28"/>
          <w:lang w:val="en-US" w:eastAsia="zh-CN"/>
        </w:rPr>
        <w:t>和学院的</w:t>
      </w:r>
      <w:r>
        <w:rPr>
          <w:rFonts w:hint="eastAsia"/>
          <w:sz w:val="28"/>
          <w:szCs w:val="28"/>
        </w:rPr>
        <w:t>发展目标，</w:t>
      </w:r>
      <w:r>
        <w:rPr>
          <w:rFonts w:hint="eastAsia"/>
          <w:sz w:val="28"/>
          <w:szCs w:val="28"/>
          <w:lang w:val="en-US" w:eastAsia="zh-CN"/>
        </w:rPr>
        <w:t>根据学院的实际情况，分析学院</w:t>
      </w:r>
      <w:r>
        <w:rPr>
          <w:rFonts w:hint="eastAsia"/>
          <w:sz w:val="28"/>
          <w:szCs w:val="28"/>
        </w:rPr>
        <w:t>发展面临</w:t>
      </w:r>
      <w:r>
        <w:rPr>
          <w:rFonts w:hint="eastAsia"/>
          <w:sz w:val="28"/>
          <w:szCs w:val="28"/>
          <w:lang w:val="en-US" w:eastAsia="zh-CN"/>
        </w:rPr>
        <w:t>的主要</w:t>
      </w:r>
      <w:r>
        <w:rPr>
          <w:rFonts w:hint="eastAsia"/>
          <w:sz w:val="28"/>
          <w:szCs w:val="28"/>
        </w:rPr>
        <w:t>问题</w:t>
      </w:r>
      <w:r>
        <w:rPr>
          <w:rFonts w:hint="eastAsia"/>
          <w:sz w:val="28"/>
          <w:szCs w:val="28"/>
          <w:lang w:eastAsia="zh-CN"/>
        </w:rPr>
        <w:t>，</w:t>
      </w:r>
      <w:r>
        <w:rPr>
          <w:rFonts w:hint="eastAsia"/>
          <w:sz w:val="28"/>
          <w:szCs w:val="28"/>
        </w:rPr>
        <w:t>立足新时代</w:t>
      </w:r>
      <w:r>
        <w:rPr>
          <w:rFonts w:hint="eastAsia"/>
          <w:sz w:val="28"/>
          <w:szCs w:val="28"/>
          <w:lang w:eastAsia="zh-CN"/>
        </w:rPr>
        <w:t>、</w:t>
      </w:r>
      <w:r>
        <w:rPr>
          <w:rFonts w:hint="eastAsia"/>
          <w:sz w:val="28"/>
          <w:szCs w:val="28"/>
        </w:rPr>
        <w:t>迎接新挑战</w:t>
      </w:r>
      <w:r>
        <w:rPr>
          <w:rFonts w:hint="eastAsia"/>
          <w:sz w:val="28"/>
          <w:szCs w:val="28"/>
          <w:lang w:eastAsia="zh-CN"/>
        </w:rPr>
        <w:t>。</w:t>
      </w:r>
    </w:p>
    <w:p>
      <w:pPr>
        <w:snapToGrid w:val="0"/>
        <w:spacing w:line="360" w:lineRule="auto"/>
        <w:ind w:firstLine="562" w:firstLineChars="200"/>
        <w:jc w:val="left"/>
        <w:textAlignment w:val="baseline"/>
        <w:rPr>
          <w:b/>
          <w:bCs/>
          <w:sz w:val="28"/>
          <w:szCs w:val="28"/>
        </w:rPr>
      </w:pPr>
      <w:r>
        <w:rPr>
          <w:rFonts w:hint="eastAsia"/>
          <w:b/>
          <w:bCs/>
          <w:sz w:val="28"/>
          <w:szCs w:val="28"/>
        </w:rPr>
        <w:t>1.师资</w:t>
      </w:r>
      <w:r>
        <w:rPr>
          <w:rFonts w:hint="eastAsia"/>
          <w:b/>
          <w:bCs/>
          <w:sz w:val="28"/>
          <w:szCs w:val="28"/>
          <w:lang w:val="en-US" w:eastAsia="zh-CN"/>
        </w:rPr>
        <w:t>队伍大而</w:t>
      </w:r>
      <w:r>
        <w:rPr>
          <w:rFonts w:hint="eastAsia"/>
          <w:b/>
          <w:bCs/>
          <w:sz w:val="28"/>
          <w:szCs w:val="28"/>
        </w:rPr>
        <w:t>不强</w:t>
      </w:r>
    </w:p>
    <w:p>
      <w:pPr>
        <w:snapToGrid w:val="0"/>
        <w:spacing w:line="360" w:lineRule="auto"/>
        <w:ind w:firstLine="560" w:firstLineChars="200"/>
        <w:jc w:val="left"/>
        <w:textAlignment w:val="baseline"/>
        <w:rPr>
          <w:sz w:val="28"/>
          <w:szCs w:val="28"/>
        </w:rPr>
      </w:pPr>
      <w:r>
        <w:rPr>
          <w:rFonts w:hint="eastAsia"/>
          <w:sz w:val="28"/>
          <w:szCs w:val="28"/>
        </w:rPr>
        <w:t>“十三五”期间，学院共引进教师33</w:t>
      </w:r>
      <w:r>
        <w:rPr>
          <w:rFonts w:hint="eastAsia"/>
          <w:bCs/>
          <w:color w:val="000000" w:themeColor="text1"/>
          <w:sz w:val="28"/>
          <w:szCs w:val="28"/>
          <w14:textFill>
            <w14:solidFill>
              <w14:schemeClr w14:val="tx1"/>
            </w14:solidFill>
          </w14:textFill>
        </w:rPr>
        <w:t>人，其中博士29人，硕士4人；教授3人，副教授</w:t>
      </w:r>
      <w:r>
        <w:rPr>
          <w:rFonts w:hint="eastAsia"/>
          <w:sz w:val="28"/>
          <w:szCs w:val="28"/>
        </w:rPr>
        <w:t>5人。至“十三五”末</w:t>
      </w:r>
      <w:r>
        <w:rPr>
          <w:rFonts w:hint="eastAsia"/>
          <w:sz w:val="28"/>
          <w:szCs w:val="28"/>
          <w:lang w:eastAsia="zh-CN"/>
        </w:rPr>
        <w:t>，</w:t>
      </w:r>
      <w:r>
        <w:rPr>
          <w:rFonts w:hint="eastAsia"/>
          <w:sz w:val="28"/>
          <w:szCs w:val="28"/>
        </w:rPr>
        <w:t>学院有教职工1</w:t>
      </w:r>
      <w:r>
        <w:rPr>
          <w:rFonts w:hint="eastAsia"/>
          <w:sz w:val="28"/>
          <w:szCs w:val="28"/>
          <w:lang w:val="en-US" w:eastAsia="zh-CN"/>
        </w:rPr>
        <w:t>06</w:t>
      </w:r>
      <w:r>
        <w:rPr>
          <w:rFonts w:hint="eastAsia"/>
          <w:sz w:val="28"/>
          <w:szCs w:val="28"/>
        </w:rPr>
        <w:t>人，其中专任教师</w:t>
      </w:r>
      <w:r>
        <w:rPr>
          <w:rFonts w:hint="eastAsia"/>
          <w:sz w:val="28"/>
          <w:szCs w:val="28"/>
          <w:lang w:val="en-US" w:eastAsia="zh-CN"/>
        </w:rPr>
        <w:t>83</w:t>
      </w:r>
      <w:r>
        <w:rPr>
          <w:rFonts w:hint="eastAsia"/>
          <w:sz w:val="28"/>
          <w:szCs w:val="28"/>
        </w:rPr>
        <w:t>人，教授</w:t>
      </w:r>
      <w:r>
        <w:rPr>
          <w:rFonts w:hint="eastAsia"/>
          <w:sz w:val="28"/>
          <w:szCs w:val="28"/>
          <w:lang w:val="en-US" w:eastAsia="zh-CN"/>
        </w:rPr>
        <w:t>13</w:t>
      </w:r>
      <w:r>
        <w:rPr>
          <w:rFonts w:hint="eastAsia"/>
          <w:sz w:val="28"/>
          <w:szCs w:val="28"/>
        </w:rPr>
        <w:t>人，副教授</w:t>
      </w:r>
      <w:r>
        <w:rPr>
          <w:rFonts w:hint="eastAsia"/>
          <w:sz w:val="28"/>
          <w:szCs w:val="28"/>
          <w:lang w:val="en-US" w:eastAsia="zh-CN"/>
        </w:rPr>
        <w:t>34</w:t>
      </w:r>
      <w:r>
        <w:rPr>
          <w:rFonts w:hint="eastAsia"/>
          <w:sz w:val="28"/>
          <w:szCs w:val="28"/>
        </w:rPr>
        <w:t>人，博士研究生</w:t>
      </w:r>
      <w:r>
        <w:rPr>
          <w:rFonts w:hint="eastAsia"/>
          <w:sz w:val="28"/>
          <w:szCs w:val="28"/>
          <w:lang w:val="en-US" w:eastAsia="zh-CN"/>
        </w:rPr>
        <w:t>45</w:t>
      </w:r>
      <w:r>
        <w:rPr>
          <w:rFonts w:hint="eastAsia"/>
          <w:sz w:val="28"/>
          <w:szCs w:val="28"/>
        </w:rPr>
        <w:t>人。随着研究生教育的不断深入，教师教</w:t>
      </w:r>
      <w:r>
        <w:rPr>
          <w:rFonts w:hint="eastAsia"/>
          <w:color w:val="000000" w:themeColor="text1"/>
          <w:sz w:val="28"/>
          <w:szCs w:val="28"/>
          <w14:textFill>
            <w14:solidFill>
              <w14:schemeClr w14:val="tx1"/>
            </w14:solidFill>
          </w14:textFill>
        </w:rPr>
        <w:t>育学院的教师队伍</w:t>
      </w:r>
      <w:r>
        <w:rPr>
          <w:rFonts w:hint="eastAsia"/>
          <w:sz w:val="28"/>
          <w:szCs w:val="28"/>
        </w:rPr>
        <w:t>仍存在年龄结构不合理，学科带头人和学科骨干教师严重不足，没有形成强有力的学科团队，教师科研能力整体偏弱等问题。</w:t>
      </w:r>
    </w:p>
    <w:p>
      <w:pPr>
        <w:snapToGrid w:val="0"/>
        <w:spacing w:line="360" w:lineRule="auto"/>
        <w:ind w:firstLine="562" w:firstLineChars="200"/>
        <w:jc w:val="left"/>
        <w:textAlignment w:val="baseline"/>
        <w:rPr>
          <w:rFonts w:hint="default"/>
          <w:sz w:val="28"/>
          <w:szCs w:val="28"/>
          <w:lang w:val="en-US"/>
        </w:rPr>
      </w:pPr>
      <w:r>
        <w:rPr>
          <w:rFonts w:hint="eastAsia"/>
          <w:b/>
          <w:bCs/>
          <w:sz w:val="28"/>
          <w:szCs w:val="28"/>
        </w:rPr>
        <w:t>2.学科</w:t>
      </w:r>
      <w:r>
        <w:rPr>
          <w:rFonts w:hint="eastAsia"/>
          <w:b/>
          <w:bCs/>
          <w:sz w:val="28"/>
          <w:szCs w:val="28"/>
          <w:lang w:val="en-US" w:eastAsia="zh-CN"/>
        </w:rPr>
        <w:t>特色还需要凝炼</w:t>
      </w:r>
    </w:p>
    <w:p>
      <w:pPr>
        <w:snapToGrid w:val="0"/>
        <w:spacing w:line="360" w:lineRule="auto"/>
        <w:ind w:firstLine="560" w:firstLineChars="200"/>
        <w:jc w:val="left"/>
        <w:textAlignment w:val="baseline"/>
        <w:rPr>
          <w:rFonts w:hint="eastAsia"/>
          <w:sz w:val="28"/>
          <w:szCs w:val="28"/>
        </w:rPr>
      </w:pPr>
      <w:r>
        <w:rPr>
          <w:rFonts w:hint="eastAsia"/>
          <w:sz w:val="28"/>
          <w:szCs w:val="28"/>
        </w:rPr>
        <w:t>2018年学院获得教育学和教育硕士学位授权后，学科建设</w:t>
      </w:r>
      <w:r>
        <w:rPr>
          <w:rFonts w:hint="eastAsia"/>
          <w:sz w:val="28"/>
          <w:szCs w:val="28"/>
          <w:lang w:val="en-US" w:eastAsia="zh-CN"/>
        </w:rPr>
        <w:t>的</w:t>
      </w:r>
      <w:r>
        <w:rPr>
          <w:rFonts w:hint="eastAsia"/>
          <w:sz w:val="28"/>
          <w:szCs w:val="28"/>
        </w:rPr>
        <w:t>步伐</w:t>
      </w:r>
      <w:r>
        <w:rPr>
          <w:rFonts w:hint="eastAsia"/>
          <w:sz w:val="28"/>
          <w:szCs w:val="28"/>
          <w:lang w:val="en-US" w:eastAsia="zh-CN"/>
        </w:rPr>
        <w:t>明显</w:t>
      </w:r>
      <w:r>
        <w:rPr>
          <w:rFonts w:hint="eastAsia"/>
          <w:sz w:val="28"/>
          <w:szCs w:val="28"/>
        </w:rPr>
        <w:t>加快。教育学一级</w:t>
      </w:r>
      <w:r>
        <w:rPr>
          <w:rFonts w:hint="eastAsia"/>
          <w:sz w:val="28"/>
          <w:szCs w:val="28"/>
          <w:lang w:val="en-US" w:eastAsia="zh-CN"/>
        </w:rPr>
        <w:t>学科</w:t>
      </w:r>
      <w:r>
        <w:rPr>
          <w:rFonts w:hint="eastAsia"/>
          <w:sz w:val="28"/>
          <w:szCs w:val="28"/>
        </w:rPr>
        <w:t>硕士学位点</w:t>
      </w:r>
      <w:r>
        <w:rPr>
          <w:rFonts w:hint="eastAsia"/>
          <w:sz w:val="28"/>
          <w:szCs w:val="28"/>
          <w:lang w:val="en-US" w:eastAsia="zh-CN"/>
        </w:rPr>
        <w:t>和</w:t>
      </w:r>
      <w:r>
        <w:rPr>
          <w:rFonts w:hint="eastAsia"/>
          <w:sz w:val="28"/>
          <w:szCs w:val="28"/>
        </w:rPr>
        <w:t>教育硕士专业学位</w:t>
      </w:r>
      <w:r>
        <w:rPr>
          <w:rFonts w:hint="eastAsia"/>
          <w:sz w:val="28"/>
          <w:szCs w:val="28"/>
          <w:lang w:val="en-US" w:eastAsia="zh-CN"/>
        </w:rPr>
        <w:t>点分别在</w:t>
      </w:r>
      <w:r>
        <w:rPr>
          <w:rFonts w:hint="eastAsia"/>
          <w:sz w:val="28"/>
          <w:szCs w:val="28"/>
        </w:rPr>
        <w:t>教育学原理</w:t>
      </w:r>
      <w:r>
        <w:rPr>
          <w:rFonts w:hint="eastAsia"/>
          <w:sz w:val="28"/>
          <w:szCs w:val="28"/>
          <w:lang w:val="en-US" w:eastAsia="zh-CN"/>
        </w:rPr>
        <w:t>等五个方向、</w:t>
      </w:r>
      <w:r>
        <w:rPr>
          <w:rFonts w:hint="eastAsia"/>
          <w:sz w:val="28"/>
          <w:szCs w:val="28"/>
        </w:rPr>
        <w:t>小学教育</w:t>
      </w:r>
      <w:r>
        <w:rPr>
          <w:rFonts w:hint="eastAsia"/>
          <w:sz w:val="28"/>
          <w:szCs w:val="28"/>
          <w:lang w:val="en-US" w:eastAsia="zh-CN"/>
        </w:rPr>
        <w:t>等三个领域开始</w:t>
      </w:r>
      <w:r>
        <w:rPr>
          <w:rFonts w:hint="eastAsia"/>
          <w:sz w:val="28"/>
          <w:szCs w:val="28"/>
        </w:rPr>
        <w:t>招收研究生。学院先后遴选出学术型、专业型硕士研究生导师60余人，</w:t>
      </w:r>
      <w:r>
        <w:rPr>
          <w:rFonts w:hint="eastAsia"/>
          <w:sz w:val="28"/>
          <w:szCs w:val="28"/>
          <w:lang w:val="en-US" w:eastAsia="zh-CN"/>
        </w:rPr>
        <w:t>但无论从导师的研究能力还是与学科方向的匹配度方面都存在较大差距，特别是没有形成有特色的学科方向，</w:t>
      </w:r>
      <w:r>
        <w:rPr>
          <w:rFonts w:hint="eastAsia"/>
          <w:sz w:val="28"/>
          <w:szCs w:val="28"/>
        </w:rPr>
        <w:t>与申报教育博士点的条件还有很大距离。</w:t>
      </w:r>
    </w:p>
    <w:p>
      <w:pPr>
        <w:snapToGrid w:val="0"/>
        <w:spacing w:line="360" w:lineRule="auto"/>
        <w:ind w:firstLine="562" w:firstLineChars="200"/>
        <w:jc w:val="left"/>
        <w:textAlignment w:val="baseline"/>
        <w:rPr>
          <w:rFonts w:hint="default" w:eastAsiaTheme="minorEastAsia"/>
          <w:b/>
          <w:bCs/>
          <w:sz w:val="28"/>
          <w:szCs w:val="28"/>
          <w:lang w:val="en-US" w:eastAsia="zh-CN"/>
        </w:rPr>
      </w:pPr>
      <w:r>
        <w:rPr>
          <w:rFonts w:hint="eastAsia"/>
          <w:b/>
          <w:bCs/>
          <w:sz w:val="28"/>
          <w:szCs w:val="28"/>
        </w:rPr>
        <w:t>3.科研实力</w:t>
      </w:r>
      <w:r>
        <w:rPr>
          <w:rFonts w:hint="eastAsia"/>
          <w:b/>
          <w:bCs/>
          <w:sz w:val="28"/>
          <w:szCs w:val="28"/>
          <w:lang w:val="en-US" w:eastAsia="zh-CN"/>
        </w:rPr>
        <w:t>急需提高</w:t>
      </w:r>
    </w:p>
    <w:p>
      <w:pPr>
        <w:snapToGrid w:val="0"/>
        <w:spacing w:line="360" w:lineRule="auto"/>
        <w:ind w:firstLine="560" w:firstLineChars="200"/>
        <w:jc w:val="left"/>
        <w:textAlignment w:val="baseline"/>
        <w:rPr>
          <w:rFonts w:hint="default" w:eastAsiaTheme="minorEastAsia"/>
          <w:sz w:val="28"/>
          <w:szCs w:val="28"/>
          <w:lang w:val="en-US" w:eastAsia="zh-CN"/>
        </w:rPr>
      </w:pPr>
      <w:r>
        <w:rPr>
          <w:rFonts w:hint="eastAsia"/>
          <w:sz w:val="28"/>
          <w:szCs w:val="28"/>
        </w:rPr>
        <w:t>“十三五”期间，</w:t>
      </w:r>
      <w:r>
        <w:rPr>
          <w:rFonts w:hint="eastAsia"/>
          <w:sz w:val="28"/>
          <w:szCs w:val="28"/>
          <w:lang w:val="en-US" w:eastAsia="zh-CN"/>
        </w:rPr>
        <w:t>虽然</w:t>
      </w:r>
      <w:r>
        <w:rPr>
          <w:rFonts w:hint="eastAsia"/>
          <w:sz w:val="28"/>
          <w:szCs w:val="28"/>
        </w:rPr>
        <w:t>学院</w:t>
      </w:r>
      <w:r>
        <w:rPr>
          <w:rFonts w:hint="eastAsia"/>
          <w:sz w:val="28"/>
          <w:szCs w:val="28"/>
          <w:lang w:val="en-US" w:eastAsia="zh-CN"/>
        </w:rPr>
        <w:t>的</w:t>
      </w:r>
      <w:r>
        <w:rPr>
          <w:rFonts w:hint="eastAsia"/>
          <w:sz w:val="28"/>
          <w:szCs w:val="28"/>
        </w:rPr>
        <w:t>科学研究取得较快发展</w:t>
      </w:r>
      <w:r>
        <w:rPr>
          <w:rFonts w:hint="eastAsia"/>
          <w:sz w:val="28"/>
          <w:szCs w:val="28"/>
          <w:lang w:eastAsia="zh-CN"/>
        </w:rPr>
        <w:t>，</w:t>
      </w:r>
      <w:r>
        <w:rPr>
          <w:rFonts w:hint="eastAsia"/>
          <w:sz w:val="28"/>
          <w:szCs w:val="28"/>
        </w:rPr>
        <w:t>科研</w:t>
      </w:r>
      <w:r>
        <w:rPr>
          <w:rFonts w:hint="eastAsia"/>
          <w:sz w:val="28"/>
          <w:szCs w:val="28"/>
          <w:lang w:val="en-US" w:eastAsia="zh-CN"/>
        </w:rPr>
        <w:t>项目和各类成果逐年</w:t>
      </w:r>
      <w:r>
        <w:rPr>
          <w:rFonts w:hint="eastAsia"/>
          <w:sz w:val="28"/>
          <w:szCs w:val="28"/>
        </w:rPr>
        <w:t>增加</w:t>
      </w:r>
      <w:r>
        <w:rPr>
          <w:rFonts w:hint="eastAsia"/>
          <w:sz w:val="28"/>
          <w:szCs w:val="28"/>
          <w:lang w:eastAsia="zh-CN"/>
        </w:rPr>
        <w:t>。</w:t>
      </w:r>
      <w:r>
        <w:rPr>
          <w:rFonts w:hint="eastAsia"/>
          <w:sz w:val="28"/>
          <w:szCs w:val="28"/>
        </w:rPr>
        <w:t>但标志性、高质量的科研成果不多，</w:t>
      </w:r>
      <w:r>
        <w:rPr>
          <w:rFonts w:hint="eastAsia"/>
          <w:sz w:val="28"/>
          <w:szCs w:val="28"/>
          <w:lang w:val="en-US" w:eastAsia="zh-CN"/>
        </w:rPr>
        <w:t>获得</w:t>
      </w:r>
      <w:r>
        <w:rPr>
          <w:rFonts w:hint="eastAsia"/>
          <w:sz w:val="28"/>
          <w:szCs w:val="28"/>
        </w:rPr>
        <w:t>国家级项目</w:t>
      </w:r>
      <w:r>
        <w:rPr>
          <w:rFonts w:hint="eastAsia"/>
          <w:sz w:val="28"/>
          <w:szCs w:val="28"/>
          <w:lang w:val="en-US" w:eastAsia="zh-CN"/>
        </w:rPr>
        <w:t>的能力不足，且</w:t>
      </w:r>
      <w:r>
        <w:rPr>
          <w:rFonts w:hint="eastAsia"/>
          <w:sz w:val="28"/>
          <w:szCs w:val="28"/>
        </w:rPr>
        <w:t>波动性大</w:t>
      </w:r>
      <w:r>
        <w:rPr>
          <w:rFonts w:hint="eastAsia"/>
          <w:sz w:val="28"/>
          <w:szCs w:val="28"/>
          <w:lang w:eastAsia="zh-CN"/>
        </w:rPr>
        <w:t>，</w:t>
      </w:r>
      <w:r>
        <w:rPr>
          <w:rFonts w:hint="eastAsia"/>
          <w:sz w:val="28"/>
          <w:szCs w:val="28"/>
        </w:rPr>
        <w:t>近五年学院共获得5项国家级项目，年均1项，</w:t>
      </w:r>
      <w:r>
        <w:rPr>
          <w:rFonts w:hint="eastAsia"/>
          <w:sz w:val="28"/>
          <w:szCs w:val="28"/>
          <w:lang w:val="en-US" w:eastAsia="zh-CN"/>
        </w:rPr>
        <w:t>而</w:t>
      </w:r>
      <w:r>
        <w:rPr>
          <w:rFonts w:hint="eastAsia"/>
          <w:sz w:val="28"/>
          <w:szCs w:val="28"/>
        </w:rPr>
        <w:t>有的年度是空白。这</w:t>
      </w:r>
      <w:r>
        <w:rPr>
          <w:rFonts w:hint="eastAsia"/>
          <w:sz w:val="28"/>
          <w:szCs w:val="28"/>
          <w:lang w:val="en-US" w:eastAsia="zh-CN"/>
        </w:rPr>
        <w:t>与学院没有形成良好的科研氛围和科研团队有关，教师们从事科研的动力需要从制度上进行激发。</w:t>
      </w:r>
    </w:p>
    <w:p>
      <w:pPr>
        <w:snapToGrid w:val="0"/>
        <w:spacing w:line="360" w:lineRule="auto"/>
        <w:ind w:firstLine="562" w:firstLineChars="200"/>
        <w:jc w:val="left"/>
        <w:textAlignment w:val="baseline"/>
        <w:rPr>
          <w:rFonts w:hint="eastAsia"/>
          <w:b/>
          <w:bCs/>
          <w:sz w:val="28"/>
          <w:szCs w:val="28"/>
          <w:lang w:val="en-US" w:eastAsia="zh-CN"/>
        </w:rPr>
      </w:pPr>
      <w:r>
        <w:rPr>
          <w:rFonts w:hint="eastAsia"/>
          <w:b/>
          <w:bCs/>
          <w:sz w:val="28"/>
          <w:szCs w:val="28"/>
        </w:rPr>
        <w:t>4.</w:t>
      </w:r>
      <w:r>
        <w:rPr>
          <w:rFonts w:hint="eastAsia"/>
          <w:b/>
          <w:bCs/>
          <w:sz w:val="28"/>
          <w:szCs w:val="28"/>
          <w:lang w:val="en-US" w:eastAsia="zh-CN"/>
        </w:rPr>
        <w:t>专业建设亟需突破</w:t>
      </w:r>
    </w:p>
    <w:p>
      <w:pPr>
        <w:snapToGrid w:val="0"/>
        <w:spacing w:line="360" w:lineRule="auto"/>
        <w:ind w:firstLine="560" w:firstLineChars="200"/>
        <w:jc w:val="left"/>
        <w:textAlignment w:val="baseline"/>
        <w:rPr>
          <w:rFonts w:hint="default"/>
          <w:b w:val="0"/>
          <w:bCs w:val="0"/>
          <w:sz w:val="28"/>
          <w:szCs w:val="28"/>
          <w:lang w:val="en-US" w:eastAsia="zh-CN"/>
        </w:rPr>
      </w:pPr>
      <w:r>
        <w:rPr>
          <w:rFonts w:hint="eastAsia"/>
          <w:sz w:val="28"/>
          <w:szCs w:val="28"/>
          <w:lang w:val="en-US" w:eastAsia="zh-CN"/>
        </w:rPr>
        <w:t>“十三五”期间，学院在国家一流专业、国家一流课程、国家级教学成果奖、国家级教学改革项目等标志性成果上尚未突破，在省级教学名师、教学团队建设上也非常乏力，同时在省一流专业、省一流课程、省级教学成果奖等重点成果上数量依然较为有限，在有特色和有影响力的专业教材建设上存在明显不足。这些都严重地制约了专业建设的水平和办学声誉。</w:t>
      </w:r>
    </w:p>
    <w:p>
      <w:pPr>
        <w:snapToGrid w:val="0"/>
        <w:spacing w:line="360" w:lineRule="auto"/>
        <w:ind w:firstLine="562" w:firstLineChars="200"/>
        <w:jc w:val="left"/>
        <w:textAlignment w:val="baseline"/>
        <w:rPr>
          <w:rFonts w:hint="eastAsia"/>
          <w:b/>
          <w:bCs/>
          <w:sz w:val="28"/>
          <w:szCs w:val="28"/>
          <w:lang w:val="en-US" w:eastAsia="zh-CN"/>
        </w:rPr>
      </w:pPr>
      <w:r>
        <w:rPr>
          <w:rFonts w:hint="eastAsia"/>
          <w:b/>
          <w:bCs/>
          <w:sz w:val="28"/>
          <w:szCs w:val="28"/>
          <w:lang w:val="en-US" w:eastAsia="zh-CN"/>
        </w:rPr>
        <w:t>5.制度建设需要加强</w:t>
      </w:r>
    </w:p>
    <w:p>
      <w:pPr>
        <w:snapToGrid w:val="0"/>
        <w:spacing w:line="360" w:lineRule="auto"/>
        <w:ind w:firstLine="560" w:firstLineChars="200"/>
        <w:jc w:val="left"/>
        <w:textAlignment w:val="baseline"/>
        <w:rPr>
          <w:rFonts w:hint="default"/>
          <w:sz w:val="28"/>
          <w:szCs w:val="28"/>
          <w:lang w:val="en-US" w:eastAsia="zh-CN"/>
        </w:rPr>
      </w:pPr>
      <w:r>
        <w:rPr>
          <w:rFonts w:hint="eastAsia"/>
          <w:sz w:val="28"/>
          <w:szCs w:val="28"/>
        </w:rPr>
        <w:t>“十三五”期间，学院</w:t>
      </w:r>
      <w:r>
        <w:rPr>
          <w:rFonts w:hint="eastAsia"/>
          <w:sz w:val="28"/>
          <w:szCs w:val="28"/>
          <w:lang w:val="en-US" w:eastAsia="zh-CN"/>
        </w:rPr>
        <w:t>也制定了“十三五</w:t>
      </w:r>
      <w:r>
        <w:rPr>
          <w:rFonts w:hint="default"/>
          <w:sz w:val="28"/>
          <w:szCs w:val="28"/>
          <w:lang w:val="en-US" w:eastAsia="zh-CN"/>
        </w:rPr>
        <w:t>”</w:t>
      </w:r>
      <w:r>
        <w:rPr>
          <w:rFonts w:hint="eastAsia"/>
          <w:sz w:val="28"/>
          <w:szCs w:val="28"/>
          <w:lang w:val="en-US" w:eastAsia="zh-CN"/>
        </w:rPr>
        <w:t>发展规划、教科研奖励等办法，实行了</w:t>
      </w:r>
      <w:r>
        <w:rPr>
          <w:rFonts w:hint="eastAsia"/>
          <w:sz w:val="28"/>
          <w:szCs w:val="28"/>
        </w:rPr>
        <w:t>教师岗位聘任</w:t>
      </w:r>
      <w:r>
        <w:rPr>
          <w:rFonts w:hint="eastAsia"/>
          <w:sz w:val="28"/>
          <w:szCs w:val="28"/>
          <w:lang w:eastAsia="zh-CN"/>
        </w:rPr>
        <w:t>，</w:t>
      </w:r>
      <w:r>
        <w:rPr>
          <w:rFonts w:hint="eastAsia"/>
          <w:sz w:val="28"/>
          <w:szCs w:val="28"/>
          <w:lang w:val="en-US" w:eastAsia="zh-CN"/>
        </w:rPr>
        <w:t>但发展规划的具体落实、科研奖励的针对性和岗位聘任的考核等关键环节还需要进一步修改和完善，学科团队、教学团队建设还需要从制度上进一步加强。总之，学院的快速发展需要与之配套的、有针对性的各项制度的支撑，并且要有相应的机构和机制保障制度的科学、有效地落实。</w:t>
      </w:r>
    </w:p>
    <w:p>
      <w:pPr>
        <w:snapToGrid w:val="0"/>
        <w:spacing w:line="360" w:lineRule="auto"/>
        <w:ind w:firstLine="562" w:firstLineChars="200"/>
        <w:textAlignment w:val="baseline"/>
        <w:rPr>
          <w:b/>
          <w:bCs/>
          <w:sz w:val="28"/>
          <w:szCs w:val="28"/>
        </w:rPr>
      </w:pPr>
      <w:r>
        <w:rPr>
          <w:rFonts w:hint="eastAsia"/>
          <w:b/>
          <w:bCs/>
          <w:sz w:val="28"/>
          <w:szCs w:val="28"/>
        </w:rPr>
        <w:t>三、学院定位与发展目标</w:t>
      </w:r>
    </w:p>
    <w:p>
      <w:pPr>
        <w:snapToGrid w:val="0"/>
        <w:spacing w:line="360" w:lineRule="auto"/>
        <w:ind w:firstLine="562" w:firstLineChars="200"/>
        <w:textAlignment w:val="baseline"/>
        <w:rPr>
          <w:b/>
          <w:bCs/>
          <w:sz w:val="28"/>
          <w:szCs w:val="28"/>
        </w:rPr>
      </w:pPr>
      <w:r>
        <w:rPr>
          <w:rFonts w:hint="eastAsia"/>
          <w:b/>
          <w:bCs/>
          <w:sz w:val="28"/>
          <w:szCs w:val="28"/>
        </w:rPr>
        <w:t>（一）学院定位</w:t>
      </w:r>
    </w:p>
    <w:p>
      <w:pPr>
        <w:snapToGrid w:val="0"/>
        <w:spacing w:line="360" w:lineRule="auto"/>
        <w:ind w:left="559" w:leftChars="266" w:firstLine="0" w:firstLineChars="0"/>
        <w:textAlignment w:val="baseline"/>
        <w:rPr>
          <w:b/>
          <w:bCs/>
          <w:sz w:val="28"/>
          <w:szCs w:val="28"/>
        </w:rPr>
      </w:pPr>
      <w:r>
        <w:rPr>
          <w:rFonts w:hint="eastAsia"/>
          <w:sz w:val="28"/>
          <w:szCs w:val="28"/>
          <w:lang w:val="en-US" w:eastAsia="zh-CN"/>
        </w:rPr>
        <w:t>教师教育学院的发展定位，主要体现在办学层次、专业和学科三方面。</w:t>
      </w:r>
      <w:r>
        <w:rPr>
          <w:rFonts w:hint="eastAsia"/>
          <w:b/>
          <w:bCs/>
          <w:sz w:val="28"/>
          <w:szCs w:val="28"/>
        </w:rPr>
        <w:t>1.办学层次</w:t>
      </w:r>
    </w:p>
    <w:p>
      <w:pPr>
        <w:snapToGrid w:val="0"/>
        <w:spacing w:line="360" w:lineRule="auto"/>
        <w:ind w:firstLine="560" w:firstLineChars="200"/>
        <w:textAlignment w:val="baseline"/>
        <w:rPr>
          <w:sz w:val="28"/>
          <w:szCs w:val="28"/>
        </w:rPr>
      </w:pPr>
      <w:r>
        <w:rPr>
          <w:rFonts w:hint="eastAsia"/>
          <w:sz w:val="28"/>
          <w:szCs w:val="28"/>
        </w:rPr>
        <w:t>湖州师范学院是全日制本科高校</w:t>
      </w:r>
      <w:r>
        <w:rPr>
          <w:rFonts w:hint="eastAsia"/>
          <w:sz w:val="28"/>
          <w:szCs w:val="28"/>
          <w:lang w:eastAsia="zh-CN"/>
        </w:rPr>
        <w:t>，</w:t>
      </w:r>
      <w:r>
        <w:rPr>
          <w:rFonts w:hint="eastAsia"/>
          <w:sz w:val="28"/>
          <w:szCs w:val="28"/>
        </w:rPr>
        <w:t>教师教育学院是</w:t>
      </w:r>
      <w:r>
        <w:rPr>
          <w:rFonts w:hint="eastAsia"/>
          <w:sz w:val="28"/>
          <w:szCs w:val="28"/>
          <w:lang w:val="en-US" w:eastAsia="zh-CN"/>
        </w:rPr>
        <w:t>师范特色显明的学科性学院，是</w:t>
      </w:r>
      <w:r>
        <w:rPr>
          <w:rFonts w:hint="eastAsia"/>
          <w:sz w:val="28"/>
          <w:szCs w:val="28"/>
        </w:rPr>
        <w:t>学校的重要组成部分。</w:t>
      </w:r>
      <w:r>
        <w:rPr>
          <w:rFonts w:hint="eastAsia" w:ascii="宋体" w:hAnsi="宋体" w:eastAsia="宋体" w:cs="宋体"/>
          <w:color w:val="000000" w:themeColor="text1"/>
          <w:sz w:val="28"/>
          <w:szCs w:val="28"/>
          <w14:textFill>
            <w14:solidFill>
              <w14:schemeClr w14:val="tx1"/>
            </w14:solidFill>
          </w14:textFill>
        </w:rPr>
        <w:t>2018年学院获批教育学一级学科硕士学位授予点、教育硕士学位授予点</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sz w:val="28"/>
          <w:szCs w:val="28"/>
        </w:rPr>
        <w:t>学院由本科生培养为主转</w:t>
      </w:r>
      <w:r>
        <w:rPr>
          <w:rFonts w:hint="eastAsia"/>
          <w:sz w:val="28"/>
          <w:szCs w:val="28"/>
          <w:lang w:val="en-US" w:eastAsia="zh-CN"/>
        </w:rPr>
        <w:t>变</w:t>
      </w:r>
      <w:r>
        <w:rPr>
          <w:rFonts w:hint="eastAsia"/>
          <w:sz w:val="28"/>
          <w:szCs w:val="28"/>
        </w:rPr>
        <w:t>为本科生与研究生培养并重。</w:t>
      </w:r>
      <w:r>
        <w:rPr>
          <w:rFonts w:hint="eastAsia" w:ascii="宋体" w:hAnsi="宋体" w:eastAsia="宋体" w:cs="宋体"/>
          <w:color w:val="000000" w:themeColor="text1"/>
          <w:sz w:val="28"/>
          <w:szCs w:val="28"/>
          <w14:textFill>
            <w14:solidFill>
              <w14:schemeClr w14:val="tx1"/>
            </w14:solidFill>
          </w14:textFill>
        </w:rPr>
        <w:t>学院</w:t>
      </w:r>
      <w:r>
        <w:rPr>
          <w:rFonts w:hint="eastAsia" w:ascii="宋体" w:hAnsi="宋体" w:eastAsia="宋体" w:cs="宋体"/>
          <w:color w:val="000000" w:themeColor="text1"/>
          <w:sz w:val="28"/>
          <w:szCs w:val="28"/>
          <w:lang w:val="en-US" w:eastAsia="zh-CN"/>
          <w14:textFill>
            <w14:solidFill>
              <w14:schemeClr w14:val="tx1"/>
            </w14:solidFill>
          </w14:textFill>
        </w:rPr>
        <w:t>的</w:t>
      </w:r>
      <w:r>
        <w:rPr>
          <w:rFonts w:hint="eastAsia"/>
          <w:sz w:val="28"/>
          <w:szCs w:val="28"/>
        </w:rPr>
        <w:t>办学层次获得进一步提升</w:t>
      </w:r>
      <w:r>
        <w:rPr>
          <w:rFonts w:hint="eastAsia"/>
          <w:sz w:val="28"/>
          <w:szCs w:val="28"/>
          <w:lang w:eastAsia="zh-CN"/>
        </w:rPr>
        <w:t>，</w:t>
      </w:r>
      <w:r>
        <w:rPr>
          <w:rFonts w:hint="eastAsia"/>
          <w:sz w:val="28"/>
          <w:szCs w:val="28"/>
          <w:lang w:val="en-US" w:eastAsia="zh-CN"/>
        </w:rPr>
        <w:t>十四五期间，将为教育博士点的申报做好奠基性工作</w:t>
      </w:r>
      <w:r>
        <w:rPr>
          <w:rFonts w:hint="eastAsia"/>
          <w:sz w:val="28"/>
          <w:szCs w:val="28"/>
        </w:rPr>
        <w:t>。</w:t>
      </w:r>
    </w:p>
    <w:p>
      <w:pPr>
        <w:snapToGrid w:val="0"/>
        <w:spacing w:line="360" w:lineRule="auto"/>
        <w:ind w:firstLine="562" w:firstLineChars="200"/>
        <w:textAlignment w:val="baseline"/>
        <w:rPr>
          <w:b/>
          <w:bCs/>
          <w:sz w:val="28"/>
          <w:szCs w:val="28"/>
        </w:rPr>
      </w:pPr>
      <w:r>
        <w:rPr>
          <w:rFonts w:hint="eastAsia"/>
          <w:b/>
          <w:bCs/>
          <w:sz w:val="28"/>
          <w:szCs w:val="28"/>
        </w:rPr>
        <w:t>2.专业定位</w:t>
      </w:r>
    </w:p>
    <w:p>
      <w:pPr>
        <w:snapToGrid w:val="0"/>
        <w:spacing w:line="360" w:lineRule="auto"/>
        <w:ind w:firstLine="560" w:firstLineChars="200"/>
        <w:textAlignment w:val="baseline"/>
        <w:rPr>
          <w:rFonts w:hint="eastAsia"/>
          <w:sz w:val="28"/>
          <w:szCs w:val="28"/>
        </w:rPr>
      </w:pPr>
      <w:r>
        <w:rPr>
          <w:rFonts w:hint="eastAsia"/>
          <w:sz w:val="28"/>
          <w:szCs w:val="28"/>
        </w:rPr>
        <w:t>“十四五”时期是学校实现内涵发展的关键期</w:t>
      </w:r>
      <w:r>
        <w:rPr>
          <w:rFonts w:hint="eastAsia"/>
          <w:sz w:val="28"/>
          <w:szCs w:val="28"/>
          <w:lang w:eastAsia="zh-CN"/>
        </w:rPr>
        <w:t>，</w:t>
      </w:r>
      <w:r>
        <w:rPr>
          <w:rFonts w:hint="eastAsia"/>
          <w:sz w:val="28"/>
          <w:szCs w:val="28"/>
        </w:rPr>
        <w:t>教师教育学院必将发挥重要作用。学院专业</w:t>
      </w:r>
      <w:r>
        <w:rPr>
          <w:rFonts w:hint="eastAsia"/>
          <w:sz w:val="28"/>
          <w:szCs w:val="28"/>
          <w:lang w:val="en-US" w:eastAsia="zh-CN"/>
        </w:rPr>
        <w:t>的</w:t>
      </w:r>
      <w:r>
        <w:rPr>
          <w:rFonts w:hint="eastAsia"/>
          <w:sz w:val="28"/>
          <w:szCs w:val="28"/>
        </w:rPr>
        <w:t>发展</w:t>
      </w:r>
      <w:r>
        <w:rPr>
          <w:rFonts w:hint="eastAsia"/>
          <w:sz w:val="28"/>
          <w:szCs w:val="28"/>
          <w:lang w:val="en-US" w:eastAsia="zh-CN"/>
        </w:rPr>
        <w:t>是学科发展的基础，专业发展</w:t>
      </w:r>
      <w:r>
        <w:rPr>
          <w:rFonts w:hint="eastAsia"/>
          <w:sz w:val="28"/>
          <w:szCs w:val="28"/>
        </w:rPr>
        <w:t>必须主辅明确</w:t>
      </w:r>
      <w:r>
        <w:rPr>
          <w:rFonts w:hint="eastAsia"/>
          <w:sz w:val="28"/>
          <w:szCs w:val="28"/>
          <w:lang w:val="en-US" w:eastAsia="zh-CN"/>
        </w:rPr>
        <w:t>，</w:t>
      </w:r>
      <w:r>
        <w:rPr>
          <w:rFonts w:hint="eastAsia"/>
          <w:sz w:val="28"/>
          <w:szCs w:val="28"/>
        </w:rPr>
        <w:t>搭配科</w:t>
      </w:r>
      <w:r>
        <w:rPr>
          <w:rFonts w:hint="eastAsia"/>
          <w:sz w:val="28"/>
          <w:szCs w:val="28"/>
          <w:lang w:val="en-US" w:eastAsia="zh-CN"/>
        </w:rPr>
        <w:t>学合理，要以教育学为主，心理学为必要的支撑。教育学与心理学的发展必需要有新技术、新媒体的全力支持。</w:t>
      </w:r>
      <w:r>
        <w:rPr>
          <w:rFonts w:hint="eastAsia"/>
          <w:sz w:val="28"/>
          <w:szCs w:val="28"/>
        </w:rPr>
        <w:t>学院坚持</w:t>
      </w:r>
      <w:r>
        <w:rPr>
          <w:rFonts w:hint="eastAsia"/>
          <w:sz w:val="28"/>
          <w:szCs w:val="28"/>
          <w:lang w:val="en-US" w:eastAsia="zh-CN"/>
        </w:rPr>
        <w:t>向</w:t>
      </w:r>
      <w:r>
        <w:rPr>
          <w:rFonts w:hint="eastAsia"/>
          <w:sz w:val="28"/>
          <w:szCs w:val="28"/>
        </w:rPr>
        <w:t>做“优”小学教育，做“特”学前教育，做“活”教育技术与应用心理的方向迈进。</w:t>
      </w:r>
    </w:p>
    <w:p>
      <w:pPr>
        <w:snapToGrid w:val="0"/>
        <w:spacing w:line="360" w:lineRule="auto"/>
        <w:ind w:firstLine="562" w:firstLineChars="200"/>
        <w:textAlignment w:val="baseline"/>
        <w:rPr>
          <w:sz w:val="28"/>
          <w:szCs w:val="28"/>
        </w:rPr>
      </w:pPr>
      <w:r>
        <w:rPr>
          <w:rFonts w:hint="eastAsia"/>
          <w:b/>
          <w:bCs/>
          <w:sz w:val="28"/>
          <w:szCs w:val="28"/>
        </w:rPr>
        <w:t>3.学科定位</w:t>
      </w:r>
      <w:r>
        <w:rPr>
          <w:rFonts w:hint="eastAsia"/>
          <w:sz w:val="28"/>
          <w:szCs w:val="28"/>
        </w:rPr>
        <w:cr/>
      </w:r>
      <w:r>
        <w:rPr>
          <w:rFonts w:hint="eastAsia"/>
          <w:sz w:val="28"/>
          <w:szCs w:val="28"/>
        </w:rPr>
        <w:t xml:space="preserve">    根据教育学科特点，结合</w:t>
      </w:r>
      <w:r>
        <w:rPr>
          <w:rFonts w:hint="eastAsia"/>
          <w:sz w:val="28"/>
          <w:szCs w:val="28"/>
          <w:lang w:val="en-US" w:eastAsia="zh-CN"/>
        </w:rPr>
        <w:t>省内教育学科发展的</w:t>
      </w:r>
      <w:r>
        <w:rPr>
          <w:rFonts w:hint="eastAsia"/>
          <w:sz w:val="28"/>
          <w:szCs w:val="28"/>
        </w:rPr>
        <w:t>实际，实现错位发展。要做“实”教师教育基本理论、做“强”小学语文/数学课程与教学、做“深”儿童发展研究、做“新”教育技术、做“大”心理咨询与心理辅导。</w:t>
      </w:r>
    </w:p>
    <w:p>
      <w:pPr>
        <w:snapToGrid w:val="0"/>
        <w:spacing w:line="360" w:lineRule="auto"/>
        <w:ind w:firstLine="562" w:firstLineChars="200"/>
        <w:textAlignment w:val="baseline"/>
        <w:rPr>
          <w:b/>
          <w:bCs/>
          <w:sz w:val="28"/>
          <w:szCs w:val="28"/>
        </w:rPr>
      </w:pPr>
      <w:r>
        <w:rPr>
          <w:rFonts w:hint="eastAsia"/>
          <w:b/>
          <w:bCs/>
          <w:sz w:val="28"/>
          <w:szCs w:val="28"/>
        </w:rPr>
        <w:t>（二）发展目标</w:t>
      </w:r>
    </w:p>
    <w:p>
      <w:pPr>
        <w:snapToGrid w:val="0"/>
        <w:spacing w:line="360" w:lineRule="auto"/>
        <w:ind w:firstLine="562" w:firstLineChars="200"/>
        <w:textAlignment w:val="baseline"/>
        <w:rPr>
          <w:b/>
          <w:bCs/>
          <w:sz w:val="28"/>
          <w:szCs w:val="28"/>
        </w:rPr>
      </w:pPr>
      <w:r>
        <w:rPr>
          <w:rFonts w:hint="eastAsia"/>
          <w:b/>
          <w:bCs/>
          <w:sz w:val="28"/>
          <w:szCs w:val="28"/>
        </w:rPr>
        <w:t>1.总体目标</w:t>
      </w:r>
    </w:p>
    <w:p>
      <w:pPr>
        <w:snapToGrid w:val="0"/>
        <w:spacing w:line="360" w:lineRule="auto"/>
        <w:ind w:firstLine="560" w:firstLineChars="200"/>
        <w:textAlignment w:val="baseline"/>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紧抓浙江实施教育现代化战略和高等教育强省战略的重大机遇，统筹规划、全面推进、突出重点，努力把学院建成多学科协同发展、师资结构不断优化、科研成果显著提升、人才培养效果显著、教育管理更加高效。</w:t>
      </w:r>
      <w:r>
        <w:rPr>
          <w:rFonts w:hint="eastAsia"/>
          <w:sz w:val="28"/>
          <w:szCs w:val="28"/>
        </w:rPr>
        <w:t>“十四五”结束，</w:t>
      </w:r>
      <w:r>
        <w:rPr>
          <w:rFonts w:hint="eastAsia"/>
          <w:color w:val="000000" w:themeColor="text1"/>
          <w:sz w:val="28"/>
          <w:szCs w:val="28"/>
          <w14:textFill>
            <w14:solidFill>
              <w14:schemeClr w14:val="tx1"/>
            </w14:solidFill>
          </w14:textFill>
        </w:rPr>
        <w:t>奋力将</w:t>
      </w:r>
      <w:r>
        <w:rPr>
          <w:rFonts w:hint="eastAsia"/>
          <w:sz w:val="28"/>
          <w:szCs w:val="28"/>
        </w:rPr>
        <w:t>学院初步建成在国内有影响，浙江有地位的教学研究型学院，</w:t>
      </w:r>
      <w:r>
        <w:rPr>
          <w:rFonts w:hint="eastAsia"/>
          <w:color w:val="000000" w:themeColor="text1"/>
          <w:sz w:val="28"/>
          <w:szCs w:val="28"/>
          <w14:textFill>
            <w14:solidFill>
              <w14:schemeClr w14:val="tx1"/>
            </w14:solidFill>
          </w14:textFill>
        </w:rPr>
        <w:t>力求实现教育博士点突破。</w:t>
      </w:r>
    </w:p>
    <w:p>
      <w:pPr>
        <w:snapToGrid w:val="0"/>
        <w:spacing w:line="360" w:lineRule="auto"/>
        <w:ind w:firstLine="562" w:firstLineChars="200"/>
        <w:textAlignment w:val="baseline"/>
        <w:rPr>
          <w:b/>
          <w:bCs/>
          <w:sz w:val="28"/>
          <w:szCs w:val="28"/>
        </w:rPr>
      </w:pPr>
      <w:r>
        <w:rPr>
          <w:rFonts w:hint="eastAsia"/>
          <w:b/>
          <w:bCs/>
          <w:sz w:val="28"/>
          <w:szCs w:val="28"/>
        </w:rPr>
        <w:t>2.具体目标</w:t>
      </w:r>
    </w:p>
    <w:p>
      <w:pPr>
        <w:snapToGrid w:val="0"/>
        <w:spacing w:line="360" w:lineRule="auto"/>
        <w:ind w:firstLine="562" w:firstLineChars="200"/>
        <w:textAlignment w:val="baseline"/>
        <w:rPr>
          <w:rFonts w:hint="eastAsia"/>
          <w:sz w:val="28"/>
          <w:szCs w:val="28"/>
        </w:rPr>
      </w:pPr>
      <w:r>
        <w:rPr>
          <w:rFonts w:hint="eastAsia"/>
          <w:b/>
          <w:bCs/>
          <w:color w:val="000000" w:themeColor="text1"/>
          <w:sz w:val="28"/>
          <w:szCs w:val="28"/>
          <w14:textFill>
            <w14:solidFill>
              <w14:schemeClr w14:val="tx1"/>
            </w14:solidFill>
          </w14:textFill>
        </w:rPr>
        <w:t>学科建设</w:t>
      </w:r>
      <w:r>
        <w:rPr>
          <w:rFonts w:hint="eastAsia"/>
          <w:b/>
          <w:bCs/>
          <w:color w:val="000000" w:themeColor="text1"/>
          <w:sz w:val="28"/>
          <w:szCs w:val="28"/>
          <w:lang w:eastAsia="zh-CN"/>
          <w14:textFill>
            <w14:solidFill>
              <w14:schemeClr w14:val="tx1"/>
            </w14:solidFill>
          </w14:textFill>
        </w:rPr>
        <w:t>：</w:t>
      </w:r>
      <w:r>
        <w:rPr>
          <w:rFonts w:hint="eastAsia"/>
          <w:color w:val="000000" w:themeColor="text1"/>
          <w:sz w:val="28"/>
          <w:szCs w:val="28"/>
          <w:lang w:val="en-US" w:eastAsia="zh-CN"/>
          <w14:textFill>
            <w14:solidFill>
              <w14:schemeClr w14:val="tx1"/>
            </w14:solidFill>
          </w14:textFill>
        </w:rPr>
        <w:t>结合教育博士点三个培养方向的具体要求，教育</w:t>
      </w:r>
      <w:r>
        <w:rPr>
          <w:rFonts w:hint="eastAsia"/>
          <w:color w:val="000000" w:themeColor="text1"/>
          <w:sz w:val="28"/>
          <w:szCs w:val="28"/>
          <w14:textFill>
            <w14:solidFill>
              <w14:schemeClr w14:val="tx1"/>
            </w14:solidFill>
          </w14:textFill>
        </w:rPr>
        <w:t>学科</w:t>
      </w:r>
      <w:r>
        <w:rPr>
          <w:rFonts w:hint="eastAsia"/>
          <w:color w:val="000000" w:themeColor="text1"/>
          <w:sz w:val="28"/>
          <w:szCs w:val="28"/>
          <w:lang w:val="en-US" w:eastAsia="zh-CN"/>
          <w14:textFill>
            <w14:solidFill>
              <w14:schemeClr w14:val="tx1"/>
            </w14:solidFill>
          </w14:textFill>
        </w:rPr>
        <w:t>的五个招生方向形成较明显的特色</w:t>
      </w:r>
      <w:r>
        <w:rPr>
          <w:rFonts w:hint="eastAsia"/>
          <w:color w:val="000000" w:themeColor="text1"/>
          <w:sz w:val="28"/>
          <w:szCs w:val="28"/>
          <w14:textFill>
            <w14:solidFill>
              <w14:schemeClr w14:val="tx1"/>
            </w14:solidFill>
          </w14:textFill>
        </w:rPr>
        <w:t>，</w:t>
      </w:r>
      <w:r>
        <w:rPr>
          <w:rFonts w:hint="eastAsia"/>
          <w:sz w:val="28"/>
          <w:szCs w:val="28"/>
          <w:lang w:val="en-US" w:eastAsia="zh-CN"/>
        </w:rPr>
        <w:t>在</w:t>
      </w:r>
      <w:r>
        <w:rPr>
          <w:rFonts w:hint="eastAsia"/>
          <w:sz w:val="28"/>
          <w:szCs w:val="28"/>
        </w:rPr>
        <w:t>教师教育基本理论、小学语文/数学课程与教学、儿童发展研究、教育</w:t>
      </w:r>
      <w:r>
        <w:rPr>
          <w:rFonts w:hint="eastAsia"/>
          <w:sz w:val="28"/>
          <w:szCs w:val="28"/>
          <w:lang w:val="en-US" w:eastAsia="zh-CN"/>
        </w:rPr>
        <w:t>信息化、</w:t>
      </w:r>
      <w:r>
        <w:rPr>
          <w:rFonts w:hint="eastAsia"/>
          <w:sz w:val="28"/>
          <w:szCs w:val="28"/>
        </w:rPr>
        <w:t>心理咨询</w:t>
      </w:r>
      <w:r>
        <w:rPr>
          <w:rFonts w:hint="eastAsia"/>
          <w:sz w:val="28"/>
          <w:szCs w:val="28"/>
          <w:lang w:val="en-US" w:eastAsia="zh-CN"/>
        </w:rPr>
        <w:t>与</w:t>
      </w:r>
      <w:r>
        <w:rPr>
          <w:rFonts w:hint="eastAsia"/>
          <w:sz w:val="28"/>
          <w:szCs w:val="28"/>
        </w:rPr>
        <w:t>辅导</w:t>
      </w:r>
      <w:r>
        <w:rPr>
          <w:rFonts w:hint="eastAsia"/>
          <w:sz w:val="28"/>
          <w:szCs w:val="28"/>
          <w:lang w:val="en-US" w:eastAsia="zh-CN"/>
        </w:rPr>
        <w:t>等方面进行</w:t>
      </w:r>
      <w:r>
        <w:rPr>
          <w:rFonts w:hint="eastAsia"/>
          <w:color w:val="000000" w:themeColor="text1"/>
          <w:sz w:val="28"/>
          <w:szCs w:val="28"/>
          <w14:textFill>
            <w14:solidFill>
              <w14:schemeClr w14:val="tx1"/>
            </w14:solidFill>
          </w14:textFill>
        </w:rPr>
        <w:t>错位发展</w:t>
      </w:r>
      <w:r>
        <w:rPr>
          <w:rFonts w:hint="eastAsia"/>
          <w:color w:val="000000" w:themeColor="text1"/>
          <w:sz w:val="28"/>
          <w:szCs w:val="28"/>
          <w:lang w:eastAsia="zh-CN"/>
          <w14:textFill>
            <w14:solidFill>
              <w14:schemeClr w14:val="tx1"/>
            </w14:solidFill>
          </w14:textFill>
        </w:rPr>
        <w:t>，</w:t>
      </w:r>
      <w:r>
        <w:rPr>
          <w:rFonts w:hint="eastAsia"/>
          <w:sz w:val="28"/>
          <w:szCs w:val="28"/>
          <w:lang w:val="en-US" w:eastAsia="zh-CN"/>
        </w:rPr>
        <w:t>逐步形成比较优势</w:t>
      </w:r>
      <w:r>
        <w:rPr>
          <w:rFonts w:hint="eastAsia"/>
          <w:sz w:val="28"/>
          <w:szCs w:val="28"/>
        </w:rPr>
        <w:t>。</w:t>
      </w:r>
    </w:p>
    <w:p>
      <w:pPr>
        <w:snapToGrid w:val="0"/>
        <w:spacing w:line="360" w:lineRule="auto"/>
        <w:ind w:firstLine="562" w:firstLineChars="200"/>
        <w:textAlignment w:val="baseline"/>
        <w:rPr>
          <w:rFonts w:hint="eastAsia"/>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师资队伍</w:t>
      </w:r>
      <w:r>
        <w:rPr>
          <w:rFonts w:hint="eastAsia"/>
          <w:color w:val="000000" w:themeColor="text1"/>
          <w:sz w:val="28"/>
          <w:szCs w:val="28"/>
          <w14:textFill>
            <w14:solidFill>
              <w14:schemeClr w14:val="tx1"/>
            </w14:solidFill>
          </w14:textFill>
        </w:rPr>
        <w:t>：改革评价机制</w:t>
      </w:r>
      <w:r>
        <w:rPr>
          <w:rFonts w:hint="eastAsia"/>
          <w:color w:val="000000" w:themeColor="text1"/>
          <w:sz w:val="28"/>
          <w:szCs w:val="28"/>
          <w:lang w:eastAsia="zh-CN"/>
          <w14:textFill>
            <w14:solidFill>
              <w14:schemeClr w14:val="tx1"/>
            </w14:solidFill>
          </w14:textFill>
        </w:rPr>
        <w:t>，</w:t>
      </w:r>
      <w:r>
        <w:rPr>
          <w:rFonts w:hint="eastAsia"/>
          <w:color w:val="000000" w:themeColor="text1"/>
          <w:sz w:val="28"/>
          <w:szCs w:val="28"/>
          <w14:textFill>
            <w14:solidFill>
              <w14:schemeClr w14:val="tx1"/>
            </w14:solidFill>
          </w14:textFill>
        </w:rPr>
        <w:t>探索多元引才</w:t>
      </w:r>
      <w:r>
        <w:rPr>
          <w:rFonts w:hint="eastAsia"/>
          <w:color w:val="000000" w:themeColor="text1"/>
          <w:sz w:val="28"/>
          <w:szCs w:val="28"/>
          <w:lang w:eastAsia="zh-CN"/>
          <w14:textFill>
            <w14:solidFill>
              <w14:schemeClr w14:val="tx1"/>
            </w14:solidFill>
          </w14:textFill>
        </w:rPr>
        <w:t>、</w:t>
      </w:r>
      <w:r>
        <w:rPr>
          <w:rFonts w:hint="eastAsia"/>
          <w:color w:val="000000" w:themeColor="text1"/>
          <w:sz w:val="28"/>
          <w:szCs w:val="28"/>
          <w:lang w:val="en-US" w:eastAsia="zh-CN"/>
          <w14:textFill>
            <w14:solidFill>
              <w14:schemeClr w14:val="tx1"/>
            </w14:solidFill>
          </w14:textFill>
        </w:rPr>
        <w:t>育才</w:t>
      </w:r>
      <w:r>
        <w:rPr>
          <w:rFonts w:hint="eastAsia"/>
          <w:color w:val="000000" w:themeColor="text1"/>
          <w:sz w:val="28"/>
          <w:szCs w:val="28"/>
          <w14:textFill>
            <w14:solidFill>
              <w14:schemeClr w14:val="tx1"/>
            </w14:solidFill>
          </w14:textFill>
        </w:rPr>
        <w:t>方式，</w:t>
      </w:r>
      <w:r>
        <w:rPr>
          <w:rFonts w:hint="eastAsia"/>
          <w:color w:val="000000" w:themeColor="text1"/>
          <w:sz w:val="28"/>
          <w:szCs w:val="28"/>
          <w:lang w:val="en-US" w:eastAsia="zh-CN"/>
          <w14:textFill>
            <w14:solidFill>
              <w14:schemeClr w14:val="tx1"/>
            </w14:solidFill>
          </w14:textFill>
        </w:rPr>
        <w:t>实现师资队伍数量与质量协调发展，逐步形成紧密型学科团队和教学团队；</w:t>
      </w:r>
      <w:r>
        <w:rPr>
          <w:rFonts w:hint="eastAsia"/>
          <w:color w:val="000000" w:themeColor="text1"/>
          <w:sz w:val="28"/>
          <w:szCs w:val="28"/>
          <w14:textFill>
            <w14:solidFill>
              <w14:schemeClr w14:val="tx1"/>
            </w14:solidFill>
          </w14:textFill>
        </w:rPr>
        <w:t>推进人事制度</w:t>
      </w:r>
      <w:r>
        <w:rPr>
          <w:rFonts w:hint="eastAsia"/>
          <w:color w:val="000000" w:themeColor="text1"/>
          <w:sz w:val="28"/>
          <w:szCs w:val="28"/>
          <w:lang w:val="en-US" w:eastAsia="zh-CN"/>
          <w14:textFill>
            <w14:solidFill>
              <w14:schemeClr w14:val="tx1"/>
            </w14:solidFill>
          </w14:textFill>
        </w:rPr>
        <w:t>和岗位聘任</w:t>
      </w:r>
      <w:r>
        <w:rPr>
          <w:rFonts w:hint="eastAsia"/>
          <w:color w:val="000000" w:themeColor="text1"/>
          <w:sz w:val="28"/>
          <w:szCs w:val="28"/>
          <w14:textFill>
            <w14:solidFill>
              <w14:schemeClr w14:val="tx1"/>
            </w14:solidFill>
          </w14:textFill>
        </w:rPr>
        <w:t>制度改革，激发教师</w:t>
      </w:r>
      <w:r>
        <w:rPr>
          <w:rFonts w:hint="eastAsia"/>
          <w:color w:val="000000" w:themeColor="text1"/>
          <w:sz w:val="28"/>
          <w:szCs w:val="28"/>
          <w:lang w:val="en-US" w:eastAsia="zh-CN"/>
          <w14:textFill>
            <w14:solidFill>
              <w14:schemeClr w14:val="tx1"/>
            </w14:solidFill>
          </w14:textFill>
        </w:rPr>
        <w:t>教学与科研</w:t>
      </w:r>
      <w:r>
        <w:rPr>
          <w:rFonts w:hint="eastAsia"/>
          <w:color w:val="000000" w:themeColor="text1"/>
          <w:sz w:val="28"/>
          <w:szCs w:val="28"/>
          <w14:textFill>
            <w14:solidFill>
              <w14:schemeClr w14:val="tx1"/>
            </w14:solidFill>
          </w14:textFill>
        </w:rPr>
        <w:t>活力，</w:t>
      </w:r>
      <w:r>
        <w:rPr>
          <w:rFonts w:hint="eastAsia"/>
          <w:color w:val="000000" w:themeColor="text1"/>
          <w:sz w:val="28"/>
          <w:szCs w:val="28"/>
          <w:lang w:val="en-US" w:eastAsia="zh-CN"/>
          <w14:textFill>
            <w14:solidFill>
              <w14:schemeClr w14:val="tx1"/>
            </w14:solidFill>
          </w14:textFill>
        </w:rPr>
        <w:t>形成有层次的博士和硕士导师指导队伍</w:t>
      </w:r>
      <w:r>
        <w:rPr>
          <w:rFonts w:hint="eastAsia"/>
          <w:color w:val="000000" w:themeColor="text1"/>
          <w:sz w:val="28"/>
          <w:szCs w:val="28"/>
          <w14:textFill>
            <w14:solidFill>
              <w14:schemeClr w14:val="tx1"/>
            </w14:solidFill>
          </w14:textFill>
        </w:rPr>
        <w:t>。</w:t>
      </w:r>
    </w:p>
    <w:p>
      <w:pPr>
        <w:snapToGrid w:val="0"/>
        <w:spacing w:line="360" w:lineRule="auto"/>
        <w:ind w:firstLine="562" w:firstLineChars="200"/>
        <w:textAlignment w:val="baseline"/>
        <w:rPr>
          <w:rFonts w:hint="eastAsia"/>
          <w:sz w:val="28"/>
          <w:szCs w:val="28"/>
        </w:rPr>
      </w:pPr>
      <w:r>
        <w:rPr>
          <w:rFonts w:hint="eastAsia"/>
          <w:b/>
          <w:bCs/>
          <w:color w:val="000000" w:themeColor="text1"/>
          <w:sz w:val="28"/>
          <w:szCs w:val="28"/>
          <w14:textFill>
            <w14:solidFill>
              <w14:schemeClr w14:val="tx1"/>
            </w14:solidFill>
          </w14:textFill>
        </w:rPr>
        <w:t>科学研究</w:t>
      </w:r>
      <w:r>
        <w:rPr>
          <w:rFonts w:hint="eastAsia"/>
          <w:color w:val="000000" w:themeColor="text1"/>
          <w:sz w:val="28"/>
          <w:szCs w:val="28"/>
          <w14:textFill>
            <w14:solidFill>
              <w14:schemeClr w14:val="tx1"/>
            </w14:solidFill>
          </w14:textFill>
        </w:rPr>
        <w:t>：厚植科研沃土，激发创新活力</w:t>
      </w:r>
      <w:r>
        <w:rPr>
          <w:rFonts w:hint="eastAsia"/>
          <w:color w:val="000000" w:themeColor="text1"/>
          <w:sz w:val="28"/>
          <w:szCs w:val="28"/>
          <w:lang w:eastAsia="zh-CN"/>
          <w14:textFill>
            <w14:solidFill>
              <w14:schemeClr w14:val="tx1"/>
            </w14:solidFill>
          </w14:textFill>
        </w:rPr>
        <w:t>，</w:t>
      </w:r>
      <w:r>
        <w:rPr>
          <w:rFonts w:hint="eastAsia"/>
          <w:color w:val="000000" w:themeColor="text1"/>
          <w:sz w:val="28"/>
          <w:szCs w:val="28"/>
          <w14:textFill>
            <w14:solidFill>
              <w14:schemeClr w14:val="tx1"/>
            </w14:solidFill>
          </w14:textFill>
        </w:rPr>
        <w:t>完善科研</w:t>
      </w:r>
      <w:r>
        <w:rPr>
          <w:rFonts w:hint="eastAsia"/>
          <w:color w:val="000000" w:themeColor="text1"/>
          <w:sz w:val="28"/>
          <w:szCs w:val="28"/>
          <w:lang w:val="en-US" w:eastAsia="zh-CN"/>
          <w14:textFill>
            <w14:solidFill>
              <w14:schemeClr w14:val="tx1"/>
            </w14:solidFill>
          </w14:textFill>
        </w:rPr>
        <w:t>支持</w:t>
      </w:r>
      <w:r>
        <w:rPr>
          <w:rFonts w:hint="eastAsia"/>
          <w:color w:val="000000" w:themeColor="text1"/>
          <w:sz w:val="28"/>
          <w:szCs w:val="28"/>
          <w14:textFill>
            <w14:solidFill>
              <w14:schemeClr w14:val="tx1"/>
            </w14:solidFill>
          </w14:textFill>
        </w:rPr>
        <w:t>政策体系，</w:t>
      </w:r>
      <w:r>
        <w:rPr>
          <w:rFonts w:hint="eastAsia"/>
          <w:color w:val="000000" w:themeColor="text1"/>
          <w:sz w:val="28"/>
          <w:szCs w:val="28"/>
          <w:lang w:val="en-US" w:eastAsia="zh-CN"/>
          <w14:textFill>
            <w14:solidFill>
              <w14:schemeClr w14:val="tx1"/>
            </w14:solidFill>
          </w14:textFill>
        </w:rPr>
        <w:t>实现国家</w:t>
      </w:r>
      <w:r>
        <w:rPr>
          <w:rFonts w:hint="eastAsia"/>
          <w:color w:val="000000" w:themeColor="text1"/>
          <w:sz w:val="28"/>
          <w:szCs w:val="28"/>
          <w14:textFill>
            <w14:solidFill>
              <w14:schemeClr w14:val="tx1"/>
            </w14:solidFill>
          </w14:textFill>
        </w:rPr>
        <w:t>重大</w:t>
      </w:r>
      <w:r>
        <w:rPr>
          <w:rFonts w:hint="eastAsia"/>
          <w:color w:val="000000" w:themeColor="text1"/>
          <w:sz w:val="28"/>
          <w:szCs w:val="28"/>
          <w:lang w:val="en-US" w:eastAsia="zh-CN"/>
          <w14:textFill>
            <w14:solidFill>
              <w14:schemeClr w14:val="tx1"/>
            </w14:solidFill>
          </w14:textFill>
        </w:rPr>
        <w:t>/重点</w:t>
      </w:r>
      <w:r>
        <w:rPr>
          <w:rFonts w:hint="eastAsia"/>
          <w:color w:val="000000" w:themeColor="text1"/>
          <w:sz w:val="28"/>
          <w:szCs w:val="28"/>
          <w14:textFill>
            <w14:solidFill>
              <w14:schemeClr w14:val="tx1"/>
            </w14:solidFill>
          </w14:textFill>
        </w:rPr>
        <w:t>项目</w:t>
      </w:r>
      <w:r>
        <w:rPr>
          <w:rFonts w:hint="eastAsia"/>
          <w:color w:val="000000" w:themeColor="text1"/>
          <w:sz w:val="28"/>
          <w:szCs w:val="28"/>
          <w:lang w:val="en-US" w:eastAsia="zh-CN"/>
          <w14:textFill>
            <w14:solidFill>
              <w14:schemeClr w14:val="tx1"/>
            </w14:solidFill>
          </w14:textFill>
        </w:rPr>
        <w:t>的突破</w:t>
      </w:r>
      <w:r>
        <w:rPr>
          <w:rFonts w:hint="eastAsia"/>
          <w:color w:val="000000" w:themeColor="text1"/>
          <w:sz w:val="28"/>
          <w:szCs w:val="28"/>
          <w14:textFill>
            <w14:solidFill>
              <w14:schemeClr w14:val="tx1"/>
            </w14:solidFill>
          </w14:textFill>
        </w:rPr>
        <w:t>，</w:t>
      </w:r>
      <w:r>
        <w:rPr>
          <w:rFonts w:hint="eastAsia"/>
          <w:color w:val="000000" w:themeColor="text1"/>
          <w:sz w:val="28"/>
          <w:szCs w:val="28"/>
          <w:lang w:val="en-US" w:eastAsia="zh-CN"/>
          <w14:textFill>
            <w14:solidFill>
              <w14:schemeClr w14:val="tx1"/>
            </w14:solidFill>
          </w14:textFill>
        </w:rPr>
        <w:t>稳定国家项目、权威论文和省部级科研奖项的获得能力，实现省级智库/基地学科平台的突破</w:t>
      </w:r>
      <w:r>
        <w:rPr>
          <w:rFonts w:hint="eastAsia"/>
          <w:color w:val="000000" w:themeColor="text1"/>
          <w:sz w:val="28"/>
          <w:szCs w:val="28"/>
          <w14:textFill>
            <w14:solidFill>
              <w14:schemeClr w14:val="tx1"/>
            </w14:solidFill>
          </w14:textFill>
        </w:rPr>
        <w:t>。</w:t>
      </w:r>
    </w:p>
    <w:p>
      <w:pPr>
        <w:snapToGrid w:val="0"/>
        <w:spacing w:line="360" w:lineRule="auto"/>
        <w:ind w:firstLine="562" w:firstLineChars="200"/>
        <w:textAlignment w:val="baseline"/>
        <w:rPr>
          <w:rFonts w:hint="eastAsia"/>
          <w:sz w:val="28"/>
          <w:szCs w:val="28"/>
        </w:rPr>
      </w:pPr>
      <w:r>
        <w:rPr>
          <w:rFonts w:hint="eastAsia"/>
          <w:b/>
          <w:bCs/>
          <w:color w:val="000000" w:themeColor="text1"/>
          <w:sz w:val="28"/>
          <w:szCs w:val="28"/>
          <w14:textFill>
            <w14:solidFill>
              <w14:schemeClr w14:val="tx1"/>
            </w14:solidFill>
          </w14:textFill>
        </w:rPr>
        <w:t>专业建设</w:t>
      </w:r>
      <w:r>
        <w:rPr>
          <w:rFonts w:hint="eastAsia"/>
          <w:color w:val="000000" w:themeColor="text1"/>
          <w:sz w:val="28"/>
          <w:szCs w:val="28"/>
          <w14:textFill>
            <w14:solidFill>
              <w14:schemeClr w14:val="tx1"/>
            </w14:solidFill>
          </w14:textFill>
        </w:rPr>
        <w:t>：依据现有专业设置</w:t>
      </w:r>
      <w:r>
        <w:rPr>
          <w:rFonts w:hint="eastAsia"/>
          <w:color w:val="000000" w:themeColor="text1"/>
          <w:sz w:val="28"/>
          <w:szCs w:val="28"/>
          <w:lang w:val="en-US" w:eastAsia="zh-CN"/>
          <w14:textFill>
            <w14:solidFill>
              <w14:schemeClr w14:val="tx1"/>
            </w14:solidFill>
          </w14:textFill>
        </w:rPr>
        <w:t>和建设水平</w:t>
      </w:r>
      <w:r>
        <w:rPr>
          <w:rFonts w:hint="eastAsia"/>
          <w:color w:val="000000" w:themeColor="text1"/>
          <w:sz w:val="28"/>
          <w:szCs w:val="28"/>
          <w14:textFill>
            <w14:solidFill>
              <w14:schemeClr w14:val="tx1"/>
            </w14:solidFill>
          </w14:textFill>
        </w:rPr>
        <w:t>，</w:t>
      </w:r>
      <w:r>
        <w:rPr>
          <w:rFonts w:hint="eastAsia"/>
          <w:sz w:val="28"/>
          <w:szCs w:val="28"/>
        </w:rPr>
        <w:t>小学教育</w:t>
      </w:r>
      <w:r>
        <w:rPr>
          <w:rFonts w:hint="eastAsia"/>
          <w:sz w:val="28"/>
          <w:szCs w:val="28"/>
          <w:lang w:val="en-US" w:eastAsia="zh-CN"/>
        </w:rPr>
        <w:t>实现国家一流专业目标</w:t>
      </w:r>
      <w:r>
        <w:rPr>
          <w:rFonts w:hint="eastAsia"/>
          <w:sz w:val="28"/>
          <w:szCs w:val="28"/>
        </w:rPr>
        <w:t>，学前教育</w:t>
      </w:r>
      <w:r>
        <w:rPr>
          <w:rFonts w:hint="eastAsia"/>
          <w:sz w:val="28"/>
          <w:szCs w:val="28"/>
          <w:lang w:val="en-US" w:eastAsia="zh-CN"/>
        </w:rPr>
        <w:t>成为省级一流专业</w:t>
      </w:r>
      <w:r>
        <w:rPr>
          <w:rFonts w:hint="eastAsia"/>
          <w:sz w:val="28"/>
          <w:szCs w:val="28"/>
        </w:rPr>
        <w:t>，教育技术与应用心理</w:t>
      </w:r>
      <w:r>
        <w:rPr>
          <w:rFonts w:hint="eastAsia"/>
          <w:sz w:val="28"/>
          <w:szCs w:val="28"/>
          <w:lang w:val="en-US" w:eastAsia="zh-CN"/>
        </w:rPr>
        <w:t>在校重点专业培育的基础上，尽快实现省一流专业的发展目标</w:t>
      </w:r>
      <w:r>
        <w:rPr>
          <w:rFonts w:hint="eastAsia"/>
          <w:sz w:val="28"/>
          <w:szCs w:val="28"/>
        </w:rPr>
        <w:t>。</w:t>
      </w:r>
    </w:p>
    <w:p>
      <w:pPr>
        <w:snapToGrid w:val="0"/>
        <w:spacing w:line="360" w:lineRule="auto"/>
        <w:ind w:firstLine="565" w:firstLineChars="201"/>
        <w:textAlignment w:val="baseline"/>
        <w:rPr>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人才培养</w:t>
      </w:r>
      <w:r>
        <w:rPr>
          <w:rFonts w:hint="eastAsia"/>
          <w:color w:val="000000" w:themeColor="text1"/>
          <w:sz w:val="28"/>
          <w:szCs w:val="28"/>
          <w14:textFill>
            <w14:solidFill>
              <w14:schemeClr w14:val="tx1"/>
            </w14:solidFill>
          </w14:textFill>
        </w:rPr>
        <w:t>：</w:t>
      </w:r>
      <w:r>
        <w:rPr>
          <w:rFonts w:hint="eastAsia"/>
          <w:color w:val="000000" w:themeColor="text1"/>
          <w:sz w:val="28"/>
          <w:szCs w:val="28"/>
          <w:lang w:val="en-US" w:eastAsia="zh-CN"/>
          <w14:textFill>
            <w14:solidFill>
              <w14:schemeClr w14:val="tx1"/>
            </w14:solidFill>
          </w14:textFill>
        </w:rPr>
        <w:t>以</w:t>
      </w:r>
      <w:r>
        <w:rPr>
          <w:rFonts w:hint="eastAsia"/>
          <w:color w:val="000000" w:themeColor="text1"/>
          <w:sz w:val="28"/>
          <w:szCs w:val="28"/>
          <w14:textFill>
            <w14:solidFill>
              <w14:schemeClr w14:val="tx1"/>
            </w14:solidFill>
          </w14:textFill>
        </w:rPr>
        <w:t>提质增效，强化管理</w:t>
      </w:r>
      <w:r>
        <w:rPr>
          <w:rFonts w:hint="eastAsia"/>
          <w:color w:val="000000" w:themeColor="text1"/>
          <w:sz w:val="28"/>
          <w:szCs w:val="28"/>
          <w:lang w:val="en-US" w:eastAsia="zh-CN"/>
          <w14:textFill>
            <w14:solidFill>
              <w14:schemeClr w14:val="tx1"/>
            </w14:solidFill>
          </w14:textFill>
        </w:rPr>
        <w:t>为引导，创新</w:t>
      </w:r>
      <w:r>
        <w:rPr>
          <w:rFonts w:hint="eastAsia"/>
          <w:color w:val="000000" w:themeColor="text1"/>
          <w:sz w:val="28"/>
          <w:szCs w:val="28"/>
          <w14:textFill>
            <w14:solidFill>
              <w14:schemeClr w14:val="tx1"/>
            </w14:solidFill>
          </w14:textFill>
        </w:rPr>
        <w:t>人才培养</w:t>
      </w:r>
      <w:r>
        <w:rPr>
          <w:rFonts w:hint="eastAsia"/>
          <w:color w:val="000000" w:themeColor="text1"/>
          <w:sz w:val="28"/>
          <w:szCs w:val="28"/>
          <w:lang w:val="en-US" w:eastAsia="zh-CN"/>
          <w14:textFill>
            <w14:solidFill>
              <w14:schemeClr w14:val="tx1"/>
            </w14:solidFill>
          </w14:textFill>
        </w:rPr>
        <w:t>模式。</w:t>
      </w:r>
      <w:r>
        <w:rPr>
          <w:rFonts w:hint="eastAsia"/>
          <w:sz w:val="28"/>
          <w:szCs w:val="28"/>
        </w:rPr>
        <w:t>以党建联盟为载体，以卓越教师培养为中心任务，以教师教育一体化发展为工作思路，不断提高人才培养的质量和效率，</w:t>
      </w:r>
      <w:r>
        <w:rPr>
          <w:rFonts w:hint="eastAsia"/>
          <w:sz w:val="28"/>
          <w:szCs w:val="28"/>
          <w:lang w:val="en-US" w:eastAsia="zh-CN"/>
        </w:rPr>
        <w:t>增强</w:t>
      </w:r>
      <w:r>
        <w:rPr>
          <w:rFonts w:hint="eastAsia"/>
          <w:sz w:val="28"/>
          <w:szCs w:val="28"/>
        </w:rPr>
        <w:t>本科生、研究生的教育</w:t>
      </w:r>
      <w:r>
        <w:rPr>
          <w:rFonts w:hint="eastAsia"/>
          <w:sz w:val="28"/>
          <w:szCs w:val="28"/>
          <w:lang w:val="en-US" w:eastAsia="zh-CN"/>
        </w:rPr>
        <w:t>和</w:t>
      </w:r>
      <w:r>
        <w:rPr>
          <w:rFonts w:hint="eastAsia"/>
          <w:sz w:val="28"/>
          <w:szCs w:val="28"/>
        </w:rPr>
        <w:t>管理</w:t>
      </w:r>
      <w:r>
        <w:rPr>
          <w:rFonts w:hint="eastAsia"/>
          <w:sz w:val="28"/>
          <w:szCs w:val="28"/>
          <w:lang w:val="en-US" w:eastAsia="zh-CN"/>
        </w:rPr>
        <w:t>能力</w:t>
      </w:r>
      <w:r>
        <w:rPr>
          <w:rFonts w:hint="eastAsia"/>
          <w:sz w:val="28"/>
          <w:szCs w:val="28"/>
        </w:rPr>
        <w:t>。</w:t>
      </w:r>
    </w:p>
    <w:p>
      <w:pPr>
        <w:snapToGrid w:val="0"/>
        <w:spacing w:line="360" w:lineRule="auto"/>
        <w:ind w:firstLine="562" w:firstLineChars="200"/>
        <w:textAlignment w:val="baseline"/>
        <w:rPr>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教学改革</w:t>
      </w:r>
      <w:r>
        <w:rPr>
          <w:rFonts w:hint="eastAsia"/>
          <w:color w:val="000000" w:themeColor="text1"/>
          <w:sz w:val="28"/>
          <w:szCs w:val="28"/>
          <w14:textFill>
            <w14:solidFill>
              <w14:schemeClr w14:val="tx1"/>
            </w14:solidFill>
          </w14:textFill>
        </w:rPr>
        <w:t>：深化教学改革，提高教学质量</w:t>
      </w:r>
      <w:r>
        <w:rPr>
          <w:rFonts w:hint="eastAsia"/>
          <w:color w:val="000000" w:themeColor="text1"/>
          <w:sz w:val="28"/>
          <w:szCs w:val="28"/>
          <w:lang w:eastAsia="zh-CN"/>
          <w14:textFill>
            <w14:solidFill>
              <w14:schemeClr w14:val="tx1"/>
            </w14:solidFill>
          </w14:textFill>
        </w:rPr>
        <w:t>，</w:t>
      </w:r>
      <w:r>
        <w:rPr>
          <w:rFonts w:hint="eastAsia"/>
          <w:color w:val="000000" w:themeColor="text1"/>
          <w:sz w:val="28"/>
          <w:szCs w:val="28"/>
          <w14:textFill>
            <w14:solidFill>
              <w14:schemeClr w14:val="tx1"/>
            </w14:solidFill>
          </w14:textFill>
        </w:rPr>
        <w:t>更新教育观念、调整课程设置，更新教育内容。推进“互联网+”“智慧+”课堂教学改革，</w:t>
      </w:r>
      <w:r>
        <w:rPr>
          <w:rFonts w:hint="eastAsia"/>
          <w:color w:val="000000" w:themeColor="text1"/>
          <w:sz w:val="28"/>
          <w:szCs w:val="28"/>
          <w:lang w:val="en-US" w:eastAsia="zh-CN"/>
          <w14:textFill>
            <w14:solidFill>
              <w14:schemeClr w14:val="tx1"/>
            </w14:solidFill>
          </w14:textFill>
        </w:rPr>
        <w:t>探索东部发达地区教师教育新模式，积极</w:t>
      </w:r>
      <w:r>
        <w:rPr>
          <w:rFonts w:hint="eastAsia"/>
          <w:color w:val="000000" w:themeColor="text1"/>
          <w:sz w:val="28"/>
          <w:szCs w:val="28"/>
          <w14:textFill>
            <w14:solidFill>
              <w14:schemeClr w14:val="tx1"/>
            </w14:solidFill>
          </w14:textFill>
        </w:rPr>
        <w:t>融入国家教师教育创新示范区建设战略。</w:t>
      </w:r>
    </w:p>
    <w:p>
      <w:pPr>
        <w:numPr>
          <w:ilvl w:val="0"/>
          <w:numId w:val="1"/>
        </w:numPr>
        <w:snapToGrid w:val="0"/>
        <w:spacing w:line="360" w:lineRule="auto"/>
        <w:ind w:firstLine="562" w:firstLineChars="200"/>
        <w:textAlignment w:val="baseline"/>
        <w:rPr>
          <w:b/>
          <w:bCs/>
          <w:sz w:val="28"/>
          <w:szCs w:val="28"/>
        </w:rPr>
      </w:pPr>
      <w:r>
        <w:rPr>
          <w:rFonts w:hint="eastAsia"/>
          <w:b/>
          <w:bCs/>
          <w:sz w:val="28"/>
          <w:szCs w:val="28"/>
        </w:rPr>
        <w:t>主要任务与推进方案</w:t>
      </w:r>
    </w:p>
    <w:p>
      <w:pPr>
        <w:snapToGrid w:val="0"/>
        <w:spacing w:line="360" w:lineRule="auto"/>
        <w:ind w:firstLine="562" w:firstLineChars="200"/>
        <w:textAlignment w:val="baseline"/>
        <w:rPr>
          <w:b/>
          <w:bCs/>
          <w:sz w:val="28"/>
          <w:szCs w:val="28"/>
        </w:rPr>
      </w:pPr>
      <w:r>
        <w:rPr>
          <w:rFonts w:hint="eastAsia"/>
          <w:b/>
          <w:bCs/>
          <w:sz w:val="28"/>
          <w:szCs w:val="28"/>
        </w:rPr>
        <w:t>（一）主要任务</w:t>
      </w:r>
    </w:p>
    <w:p>
      <w:pPr>
        <w:snapToGrid w:val="0"/>
        <w:spacing w:line="360" w:lineRule="auto"/>
        <w:ind w:firstLine="562" w:firstLineChars="200"/>
        <w:textAlignment w:val="baseline"/>
        <w:rPr>
          <w:rFonts w:hint="default" w:eastAsiaTheme="minorEastAsia"/>
          <w:b/>
          <w:bCs/>
          <w:color w:val="000000" w:themeColor="text1"/>
          <w:sz w:val="28"/>
          <w:szCs w:val="28"/>
          <w:lang w:val="en-US" w:eastAsia="zh-CN"/>
          <w14:textFill>
            <w14:solidFill>
              <w14:schemeClr w14:val="tx1"/>
            </w14:solidFill>
          </w14:textFill>
        </w:rPr>
      </w:pPr>
      <w:r>
        <w:rPr>
          <w:rFonts w:hint="eastAsia"/>
          <w:b/>
          <w:bCs/>
          <w:sz w:val="28"/>
          <w:szCs w:val="28"/>
        </w:rPr>
        <w:t>1.</w:t>
      </w:r>
      <w:r>
        <w:rPr>
          <w:rFonts w:hint="eastAsia"/>
          <w:b/>
          <w:bCs/>
          <w:sz w:val="28"/>
          <w:szCs w:val="28"/>
          <w:lang w:val="en-US" w:eastAsia="zh-CN"/>
        </w:rPr>
        <w:t>教师</w:t>
      </w:r>
      <w:r>
        <w:rPr>
          <w:rFonts w:hint="eastAsia"/>
          <w:b/>
          <w:bCs/>
          <w:color w:val="000000" w:themeColor="text1"/>
          <w:sz w:val="28"/>
          <w:szCs w:val="28"/>
          <w:lang w:val="en-US" w:eastAsia="zh-CN"/>
          <w14:textFill>
            <w14:solidFill>
              <w14:schemeClr w14:val="tx1"/>
            </w14:solidFill>
          </w14:textFill>
        </w:rPr>
        <w:t>队伍建设</w:t>
      </w:r>
    </w:p>
    <w:p>
      <w:pPr>
        <w:snapToGrid w:val="0"/>
        <w:spacing w:line="360" w:lineRule="auto"/>
        <w:ind w:firstLine="560" w:firstLineChars="200"/>
        <w:textAlignment w:val="baseline"/>
        <w:rPr>
          <w:rFonts w:hint="eastAsia"/>
          <w:sz w:val="28"/>
          <w:szCs w:val="28"/>
          <w:lang w:val="en-US" w:eastAsia="zh-CN"/>
        </w:rPr>
      </w:pPr>
      <w:r>
        <w:rPr>
          <w:rFonts w:hint="eastAsia"/>
          <w:sz w:val="28"/>
          <w:szCs w:val="28"/>
          <w:lang w:val="en-US" w:eastAsia="zh-CN"/>
        </w:rPr>
        <w:t>教师队伍是本科生、硕士研究生培养和教育博士专业学位申报的重要基础，</w:t>
      </w:r>
      <w:r>
        <w:rPr>
          <w:rFonts w:hint="eastAsia"/>
          <w:sz w:val="28"/>
          <w:szCs w:val="28"/>
        </w:rPr>
        <w:t>“十四五”时期，学院拟引进博士及以上高级人才45-50人，专任教师总数达到1</w:t>
      </w:r>
      <w:r>
        <w:rPr>
          <w:rFonts w:hint="eastAsia"/>
          <w:sz w:val="28"/>
          <w:szCs w:val="28"/>
          <w:lang w:val="en-US" w:eastAsia="zh-CN"/>
        </w:rPr>
        <w:t>1</w:t>
      </w:r>
      <w:r>
        <w:rPr>
          <w:rFonts w:hint="eastAsia"/>
          <w:sz w:val="28"/>
          <w:szCs w:val="28"/>
        </w:rPr>
        <w:t>0人</w:t>
      </w:r>
      <w:r>
        <w:rPr>
          <w:rFonts w:hint="eastAsia"/>
          <w:sz w:val="28"/>
          <w:szCs w:val="28"/>
          <w:lang w:eastAsia="zh-CN"/>
        </w:rPr>
        <w:t>，</w:t>
      </w:r>
      <w:r>
        <w:rPr>
          <w:rFonts w:hint="eastAsia"/>
          <w:color w:val="000000" w:themeColor="text1"/>
          <w:sz w:val="28"/>
          <w:szCs w:val="28"/>
          <w14:textFill>
            <w14:solidFill>
              <w14:schemeClr w14:val="tx1"/>
            </w14:solidFill>
          </w14:textFill>
        </w:rPr>
        <w:t>博士比较达到</w:t>
      </w:r>
      <w:r>
        <w:rPr>
          <w:rFonts w:hint="eastAsia"/>
          <w:color w:val="000000" w:themeColor="text1"/>
          <w:sz w:val="28"/>
          <w:szCs w:val="28"/>
          <w:lang w:val="en-US" w:eastAsia="zh-CN"/>
          <w14:textFill>
            <w14:solidFill>
              <w14:schemeClr w14:val="tx1"/>
            </w14:solidFill>
          </w14:textFill>
        </w:rPr>
        <w:t>8</w:t>
      </w:r>
      <w:r>
        <w:rPr>
          <w:rFonts w:hint="eastAsia"/>
          <w:color w:val="000000" w:themeColor="text1"/>
          <w:sz w:val="28"/>
          <w:szCs w:val="28"/>
          <w14:textFill>
            <w14:solidFill>
              <w14:schemeClr w14:val="tx1"/>
            </w14:solidFill>
          </w14:textFill>
        </w:rPr>
        <w:t>0%以上</w:t>
      </w:r>
      <w:r>
        <w:rPr>
          <w:rFonts w:hint="eastAsia"/>
          <w:color w:val="000000" w:themeColor="text1"/>
          <w:sz w:val="28"/>
          <w:szCs w:val="28"/>
          <w:lang w:eastAsia="zh-CN"/>
          <w14:textFill>
            <w14:solidFill>
              <w14:schemeClr w14:val="tx1"/>
            </w14:solidFill>
          </w14:textFill>
        </w:rPr>
        <w:t>，</w:t>
      </w:r>
      <w:r>
        <w:rPr>
          <w:rFonts w:hint="eastAsia"/>
          <w:color w:val="000000" w:themeColor="text1"/>
          <w:sz w:val="28"/>
          <w:szCs w:val="28"/>
          <w:lang w:val="en-US" w:eastAsia="zh-CN"/>
          <w14:textFill>
            <w14:solidFill>
              <w14:schemeClr w14:val="tx1"/>
            </w14:solidFill>
          </w14:textFill>
        </w:rPr>
        <w:t>教授稳定在15人以上</w:t>
      </w:r>
      <w:r>
        <w:rPr>
          <w:rFonts w:hint="eastAsia"/>
          <w:sz w:val="28"/>
          <w:szCs w:val="28"/>
        </w:rPr>
        <w:t>。</w:t>
      </w:r>
      <w:r>
        <w:rPr>
          <w:rFonts w:hint="eastAsia"/>
          <w:sz w:val="28"/>
          <w:szCs w:val="28"/>
          <w:lang w:val="en-US" w:eastAsia="zh-CN"/>
        </w:rPr>
        <w:t>要建设一支80人左右的硕士生导师队伍，有7-9人具有博士生导师资格和博士生指导经历，对现有教育学学术型导师和教育硕士专业型导师队伍进行升级改造，使导师队伍的学术性更有特色，指导研究生更有学术性和针对性，以增强导师队伍的整体指导实力。</w:t>
      </w:r>
    </w:p>
    <w:p>
      <w:pPr>
        <w:snapToGrid w:val="0"/>
        <w:spacing w:line="360" w:lineRule="auto"/>
        <w:ind w:firstLine="562" w:firstLineChars="200"/>
        <w:textAlignment w:val="baseline"/>
        <w:rPr>
          <w:sz w:val="28"/>
          <w:szCs w:val="28"/>
        </w:rPr>
      </w:pPr>
      <w:r>
        <w:rPr>
          <w:rFonts w:hint="eastAsia"/>
          <w:b/>
          <w:bCs/>
          <w:color w:val="000000" w:themeColor="text1"/>
          <w:sz w:val="28"/>
          <w:szCs w:val="28"/>
          <w:lang w:val="en-US" w:eastAsia="zh-CN"/>
          <w14:textFill>
            <w14:solidFill>
              <w14:schemeClr w14:val="tx1"/>
            </w14:solidFill>
          </w14:textFill>
        </w:rPr>
        <w:t>2</w:t>
      </w:r>
      <w:r>
        <w:rPr>
          <w:rFonts w:hint="eastAsia"/>
          <w:b/>
          <w:bCs/>
          <w:color w:val="000000" w:themeColor="text1"/>
          <w:sz w:val="28"/>
          <w:szCs w:val="28"/>
          <w14:textFill>
            <w14:solidFill>
              <w14:schemeClr w14:val="tx1"/>
            </w14:solidFill>
          </w14:textFill>
        </w:rPr>
        <w:t>.</w:t>
      </w:r>
      <w:r>
        <w:rPr>
          <w:rFonts w:hint="eastAsia"/>
          <w:b/>
          <w:bCs/>
          <w:sz w:val="28"/>
          <w:szCs w:val="28"/>
        </w:rPr>
        <w:t>学科团队建设</w:t>
      </w:r>
    </w:p>
    <w:p>
      <w:pPr>
        <w:snapToGrid w:val="0"/>
        <w:spacing w:line="360" w:lineRule="auto"/>
        <w:ind w:firstLine="560" w:firstLineChars="200"/>
        <w:textAlignment w:val="baseline"/>
        <w:rPr>
          <w:sz w:val="28"/>
          <w:szCs w:val="28"/>
        </w:rPr>
      </w:pPr>
      <w:r>
        <w:rPr>
          <w:rFonts w:hint="eastAsia"/>
          <w:sz w:val="28"/>
          <w:szCs w:val="28"/>
        </w:rPr>
        <w:t>以浙江省乡村教育研究中心和浙江省教育信息化评价与应用研究中心为依托，以教育学一级学科硕士点五个招生方向为特色，高质量通过教育学一级学科硕士点和教育硕士学位点合格评估，积极培育教育博士专业学位点，结合教育博士点的三个招生方向，在教师教育、乡村教育、教育信息化、教育学原理、课程与教学论、学前教育等方向，有步骤地打造出5-6个有特色的学科团队。努力开拓渠道，依托名校联合培养博士研究生，推进研究生教育内涵式发展，助力教育学“一流学科”建设。继续加强学位点建设，积极培育心理学硕士点，实现心理学硕士点建设突破。</w:t>
      </w:r>
    </w:p>
    <w:p>
      <w:pPr>
        <w:snapToGrid w:val="0"/>
        <w:spacing w:line="360" w:lineRule="auto"/>
        <w:ind w:left="559" w:leftChars="266"/>
        <w:textAlignment w:val="baseline"/>
        <w:rPr>
          <w:rFonts w:hint="eastAsia"/>
          <w:b/>
          <w:bCs/>
          <w:sz w:val="28"/>
          <w:szCs w:val="28"/>
        </w:rPr>
      </w:pPr>
      <w:r>
        <w:rPr>
          <w:rFonts w:hint="eastAsia"/>
          <w:b/>
          <w:bCs/>
          <w:sz w:val="28"/>
          <w:szCs w:val="28"/>
          <w:lang w:val="en-US" w:eastAsia="zh-CN"/>
        </w:rPr>
        <w:t>3</w:t>
      </w:r>
      <w:r>
        <w:rPr>
          <w:rFonts w:hint="eastAsia"/>
          <w:b/>
          <w:bCs/>
          <w:sz w:val="28"/>
          <w:szCs w:val="28"/>
        </w:rPr>
        <w:t>.教学</w:t>
      </w:r>
      <w:r>
        <w:rPr>
          <w:rFonts w:hint="eastAsia"/>
          <w:b/>
          <w:bCs/>
          <w:sz w:val="28"/>
          <w:szCs w:val="28"/>
          <w:lang w:val="en-US" w:eastAsia="zh-CN"/>
        </w:rPr>
        <w:t>成果</w:t>
      </w:r>
      <w:r>
        <w:rPr>
          <w:rFonts w:hint="eastAsia"/>
          <w:b/>
          <w:bCs/>
          <w:sz w:val="28"/>
          <w:szCs w:val="28"/>
        </w:rPr>
        <w:t>建设</w:t>
      </w:r>
    </w:p>
    <w:p>
      <w:pPr>
        <w:snapToGrid w:val="0"/>
        <w:spacing w:line="360" w:lineRule="auto"/>
        <w:ind w:firstLine="560" w:firstLineChars="200"/>
        <w:textAlignment w:val="baseline"/>
        <w:rPr>
          <w:rFonts w:hint="eastAsia"/>
          <w:sz w:val="28"/>
          <w:szCs w:val="28"/>
          <w:lang w:val="en-US" w:eastAsia="zh-CN"/>
        </w:rPr>
      </w:pPr>
      <w:r>
        <w:rPr>
          <w:rFonts w:hint="eastAsia"/>
          <w:sz w:val="28"/>
          <w:szCs w:val="28"/>
        </w:rPr>
        <w:t>“十四五”时期，学院将加强组织管理，凝才聚智，激发活力。</w:t>
      </w:r>
      <w:r>
        <w:rPr>
          <w:rFonts w:hint="eastAsia"/>
          <w:sz w:val="28"/>
          <w:szCs w:val="28"/>
          <w:lang w:val="en-US" w:eastAsia="zh-CN"/>
        </w:rPr>
        <w:t>在现有四个本科专业基础上，以</w:t>
      </w:r>
      <w:r>
        <w:rPr>
          <w:rFonts w:hint="eastAsia"/>
          <w:sz w:val="28"/>
          <w:szCs w:val="28"/>
        </w:rPr>
        <w:t>教师技能训练为重心，以岗位分类聘任为契机，以培养优秀师范生为目标，着力打造4</w:t>
      </w:r>
      <w:r>
        <w:rPr>
          <w:rFonts w:hint="eastAsia"/>
          <w:sz w:val="28"/>
          <w:szCs w:val="28"/>
          <w:lang w:val="en-US" w:eastAsia="zh-CN"/>
        </w:rPr>
        <w:t>-</w:t>
      </w:r>
      <w:r>
        <w:rPr>
          <w:rFonts w:hint="eastAsia"/>
          <w:sz w:val="28"/>
          <w:szCs w:val="28"/>
        </w:rPr>
        <w:t>5个</w:t>
      </w:r>
      <w:r>
        <w:rPr>
          <w:rFonts w:hint="eastAsia"/>
          <w:sz w:val="28"/>
          <w:szCs w:val="28"/>
          <w:lang w:val="en-US" w:eastAsia="zh-CN"/>
        </w:rPr>
        <w:t>精干的</w:t>
      </w:r>
      <w:r>
        <w:rPr>
          <w:rFonts w:hint="eastAsia"/>
          <w:sz w:val="28"/>
          <w:szCs w:val="28"/>
        </w:rPr>
        <w:t>教学团队。力争小学教育专业获得国家一流专业，获得国家</w:t>
      </w:r>
      <w:r>
        <w:rPr>
          <w:rFonts w:hint="eastAsia"/>
          <w:sz w:val="28"/>
          <w:szCs w:val="28"/>
          <w:lang w:val="en-US" w:eastAsia="zh-CN"/>
        </w:rPr>
        <w:t>和省级</w:t>
      </w:r>
      <w:r>
        <w:rPr>
          <w:rFonts w:hint="eastAsia"/>
          <w:sz w:val="28"/>
          <w:szCs w:val="28"/>
        </w:rPr>
        <w:t>一流课程</w:t>
      </w:r>
      <w:r>
        <w:rPr>
          <w:rFonts w:hint="eastAsia"/>
          <w:sz w:val="28"/>
          <w:szCs w:val="28"/>
          <w:lang w:val="en-US" w:eastAsia="zh-CN"/>
        </w:rPr>
        <w:t>30-40</w:t>
      </w:r>
      <w:r>
        <w:rPr>
          <w:rFonts w:hint="eastAsia"/>
          <w:sz w:val="28"/>
          <w:szCs w:val="28"/>
        </w:rPr>
        <w:t>门，国家</w:t>
      </w:r>
      <w:r>
        <w:rPr>
          <w:rFonts w:hint="eastAsia"/>
          <w:sz w:val="28"/>
          <w:szCs w:val="28"/>
          <w:lang w:val="en-US" w:eastAsia="zh-CN"/>
        </w:rPr>
        <w:t>和省级</w:t>
      </w:r>
      <w:r>
        <w:rPr>
          <w:rFonts w:hint="eastAsia"/>
          <w:sz w:val="28"/>
          <w:szCs w:val="28"/>
        </w:rPr>
        <w:t>优秀教材</w:t>
      </w:r>
      <w:r>
        <w:rPr>
          <w:rFonts w:hint="eastAsia"/>
          <w:sz w:val="28"/>
          <w:szCs w:val="28"/>
          <w:lang w:val="en-US" w:eastAsia="zh-CN"/>
        </w:rPr>
        <w:t>4-5</w:t>
      </w:r>
      <w:r>
        <w:rPr>
          <w:rFonts w:hint="eastAsia"/>
          <w:sz w:val="28"/>
          <w:szCs w:val="28"/>
        </w:rPr>
        <w:t>部，</w:t>
      </w:r>
      <w:r>
        <w:rPr>
          <w:rFonts w:hint="eastAsia"/>
          <w:sz w:val="28"/>
          <w:szCs w:val="28"/>
          <w:lang w:val="en-US" w:eastAsia="zh-CN"/>
        </w:rPr>
        <w:t>出版</w:t>
      </w:r>
      <w:r>
        <w:rPr>
          <w:rFonts w:hint="eastAsia"/>
          <w:sz w:val="28"/>
          <w:szCs w:val="28"/>
        </w:rPr>
        <w:t>专业特色教</w:t>
      </w:r>
      <w:r>
        <w:rPr>
          <w:rFonts w:hint="eastAsia"/>
          <w:sz w:val="28"/>
          <w:szCs w:val="28"/>
          <w:lang w:val="en-US" w:eastAsia="zh-CN"/>
        </w:rPr>
        <w:t>材9-10部，省部级及以上教学成果奖2-3项，并实现国家级教学成果奖零的突破。获得国家级和省级教学改革项目14项，省级（A类）竞赛一等奖及以上奖项50项以上。</w:t>
      </w:r>
    </w:p>
    <w:p>
      <w:pPr>
        <w:snapToGrid w:val="0"/>
        <w:spacing w:line="360" w:lineRule="auto"/>
        <w:ind w:firstLine="562" w:firstLineChars="200"/>
        <w:textAlignment w:val="baseline"/>
        <w:rPr>
          <w:rFonts w:hint="eastAsia"/>
          <w:b/>
          <w:bCs/>
          <w:color w:val="000000" w:themeColor="text1"/>
          <w:sz w:val="28"/>
          <w:szCs w:val="28"/>
          <w:lang w:val="en-US" w:eastAsia="zh-CN"/>
          <w14:textFill>
            <w14:solidFill>
              <w14:schemeClr w14:val="tx1"/>
            </w14:solidFill>
          </w14:textFill>
        </w:rPr>
      </w:pPr>
      <w:r>
        <w:rPr>
          <w:rFonts w:hint="eastAsia"/>
          <w:b/>
          <w:bCs/>
          <w:color w:val="000000" w:themeColor="text1"/>
          <w:sz w:val="28"/>
          <w:szCs w:val="28"/>
          <w:lang w:val="en-US" w:eastAsia="zh-CN"/>
          <w14:textFill>
            <w14:solidFill>
              <w14:schemeClr w14:val="tx1"/>
            </w14:solidFill>
          </w14:textFill>
        </w:rPr>
        <w:t>4</w:t>
      </w:r>
      <w:r>
        <w:rPr>
          <w:rFonts w:hint="eastAsia"/>
          <w:b/>
          <w:bCs/>
          <w:color w:val="000000" w:themeColor="text1"/>
          <w:sz w:val="28"/>
          <w:szCs w:val="28"/>
          <w14:textFill>
            <w14:solidFill>
              <w14:schemeClr w14:val="tx1"/>
            </w14:solidFill>
          </w14:textFill>
        </w:rPr>
        <w:t>.</w:t>
      </w:r>
      <w:r>
        <w:rPr>
          <w:rFonts w:hint="eastAsia"/>
          <w:b/>
          <w:bCs/>
          <w:color w:val="000000" w:themeColor="text1"/>
          <w:sz w:val="28"/>
          <w:szCs w:val="28"/>
          <w:lang w:val="en-US" w:eastAsia="zh-CN"/>
          <w14:textFill>
            <w14:solidFill>
              <w14:schemeClr w14:val="tx1"/>
            </w14:solidFill>
          </w14:textFill>
        </w:rPr>
        <w:t>稳固科研成果</w:t>
      </w:r>
    </w:p>
    <w:p>
      <w:pPr>
        <w:snapToGrid w:val="0"/>
        <w:spacing w:line="360" w:lineRule="auto"/>
        <w:ind w:firstLine="560" w:firstLineChars="200"/>
        <w:textAlignment w:val="baseline"/>
        <w:rPr>
          <w:rFonts w:hint="eastAsia"/>
          <w:sz w:val="28"/>
          <w:szCs w:val="28"/>
        </w:rPr>
      </w:pPr>
      <w:r>
        <w:rPr>
          <w:rFonts w:hint="eastAsia"/>
          <w:sz w:val="28"/>
          <w:szCs w:val="28"/>
        </w:rPr>
        <w:t>在学科团队的基础上，通过预研、分级论证</w:t>
      </w:r>
      <w:r>
        <w:rPr>
          <w:rFonts w:hint="eastAsia"/>
          <w:sz w:val="28"/>
          <w:szCs w:val="28"/>
          <w:lang w:val="en-US" w:eastAsia="zh-CN"/>
        </w:rPr>
        <w:t>和专家指导</w:t>
      </w:r>
      <w:r>
        <w:rPr>
          <w:rFonts w:hint="eastAsia"/>
          <w:sz w:val="28"/>
          <w:szCs w:val="28"/>
        </w:rPr>
        <w:t>等措施，实现国家级项目、权威论文、专著稳步增长</w:t>
      </w:r>
      <w:r>
        <w:rPr>
          <w:rFonts w:hint="eastAsia"/>
          <w:sz w:val="28"/>
          <w:szCs w:val="28"/>
          <w:lang w:eastAsia="zh-CN"/>
        </w:rPr>
        <w:t>。</w:t>
      </w:r>
      <w:r>
        <w:rPr>
          <w:rFonts w:hint="eastAsia"/>
          <w:sz w:val="28"/>
          <w:szCs w:val="28"/>
        </w:rPr>
        <w:t>五年间</w:t>
      </w:r>
      <w:r>
        <w:rPr>
          <w:rFonts w:hint="eastAsia"/>
          <w:sz w:val="28"/>
          <w:szCs w:val="28"/>
          <w:lang w:val="en-US" w:eastAsia="zh-CN"/>
        </w:rPr>
        <w:t>获得国家级项目12项以上，省部级项目40项，发表一级以上期刊论文100篇（其中权威期刊15篇以上</w:t>
      </w:r>
      <w:r>
        <w:rPr>
          <w:rFonts w:hint="eastAsia"/>
          <w:sz w:val="28"/>
          <w:szCs w:val="28"/>
          <w:lang w:eastAsia="zh-CN"/>
        </w:rPr>
        <w:t>）</w:t>
      </w:r>
      <w:r>
        <w:rPr>
          <w:rFonts w:hint="eastAsia"/>
          <w:sz w:val="28"/>
          <w:szCs w:val="28"/>
        </w:rPr>
        <w:t>，出版专著</w:t>
      </w:r>
      <w:r>
        <w:rPr>
          <w:rFonts w:hint="eastAsia"/>
          <w:sz w:val="28"/>
          <w:szCs w:val="28"/>
          <w:lang w:val="en-US" w:eastAsia="zh-CN"/>
        </w:rPr>
        <w:t>25</w:t>
      </w:r>
      <w:r>
        <w:rPr>
          <w:rFonts w:hint="eastAsia"/>
          <w:sz w:val="28"/>
          <w:szCs w:val="28"/>
        </w:rPr>
        <w:t>部，省部级及以上科研成果奖</w:t>
      </w:r>
      <w:r>
        <w:rPr>
          <w:rFonts w:hint="eastAsia"/>
          <w:sz w:val="28"/>
          <w:szCs w:val="28"/>
          <w:lang w:val="en-US" w:eastAsia="zh-CN"/>
        </w:rPr>
        <w:t>4-</w:t>
      </w:r>
      <w:r>
        <w:rPr>
          <w:rFonts w:hint="eastAsia"/>
          <w:sz w:val="28"/>
          <w:szCs w:val="28"/>
        </w:rPr>
        <w:t>5项。纵向科研经费达到</w:t>
      </w:r>
      <w:r>
        <w:rPr>
          <w:rFonts w:hint="eastAsia"/>
          <w:sz w:val="28"/>
          <w:szCs w:val="28"/>
          <w:lang w:val="en-US" w:eastAsia="zh-CN"/>
        </w:rPr>
        <w:t>4</w:t>
      </w:r>
      <w:r>
        <w:rPr>
          <w:rFonts w:hint="eastAsia"/>
          <w:sz w:val="28"/>
          <w:szCs w:val="28"/>
        </w:rPr>
        <w:t>00万元。</w:t>
      </w:r>
    </w:p>
    <w:p>
      <w:pPr>
        <w:snapToGrid w:val="0"/>
        <w:spacing w:line="360" w:lineRule="auto"/>
        <w:ind w:firstLine="562" w:firstLineChars="200"/>
        <w:textAlignment w:val="baseline"/>
        <w:rPr>
          <w:rFonts w:hint="eastAsia"/>
          <w:b/>
          <w:bCs/>
          <w:color w:val="000000" w:themeColor="text1"/>
          <w:sz w:val="28"/>
          <w:szCs w:val="28"/>
          <w:lang w:val="en-US" w:eastAsia="zh-CN"/>
          <w14:textFill>
            <w14:solidFill>
              <w14:schemeClr w14:val="tx1"/>
            </w14:solidFill>
          </w14:textFill>
        </w:rPr>
      </w:pPr>
      <w:r>
        <w:rPr>
          <w:rFonts w:hint="eastAsia"/>
          <w:b/>
          <w:bCs/>
          <w:sz w:val="28"/>
          <w:szCs w:val="28"/>
          <w:lang w:val="en-US" w:eastAsia="zh-CN"/>
        </w:rPr>
        <w:t>5</w:t>
      </w:r>
      <w:r>
        <w:rPr>
          <w:rFonts w:hint="eastAsia"/>
          <w:b/>
          <w:bCs/>
          <w:sz w:val="28"/>
          <w:szCs w:val="28"/>
        </w:rPr>
        <w:t>.</w:t>
      </w:r>
      <w:r>
        <w:rPr>
          <w:rFonts w:hint="eastAsia"/>
          <w:b/>
          <w:bCs/>
          <w:color w:val="000000" w:themeColor="text1"/>
          <w:sz w:val="28"/>
          <w:szCs w:val="28"/>
          <w:lang w:val="en-US" w:eastAsia="zh-CN"/>
          <w14:textFill>
            <w14:solidFill>
              <w14:schemeClr w14:val="tx1"/>
            </w14:solidFill>
          </w14:textFill>
        </w:rPr>
        <w:t>人才培养</w:t>
      </w:r>
    </w:p>
    <w:p>
      <w:pPr>
        <w:snapToGrid w:val="0"/>
        <w:spacing w:line="360" w:lineRule="auto"/>
        <w:ind w:firstLine="560" w:firstLineChars="200"/>
        <w:textAlignment w:val="baseline"/>
        <w:rPr>
          <w:rFonts w:hint="eastAsia"/>
          <w:b/>
          <w:bCs/>
          <w:sz w:val="28"/>
          <w:szCs w:val="28"/>
        </w:rPr>
      </w:pPr>
      <w:r>
        <w:rPr>
          <w:rFonts w:hint="eastAsia"/>
          <w:sz w:val="28"/>
          <w:szCs w:val="28"/>
          <w:lang w:val="en-US" w:eastAsia="zh-CN"/>
        </w:rPr>
        <w:t>“十四五”时期，将进一步聚焦师范特色，以促进学生全面发展为导向，形成全员全过程全方位育人格局。学生学科竞赛参与率达到65%,，参加学科竞赛（A类）获省级及以上奖项70项，本科生发表论文(获得专利)200篇（项）；学生考编考研率保持1%的增长率，国内外读研150人以上，毕业生初次就业率、1年后就业率保持在95%以上，新建优质生源基地、就业基地各9个。</w:t>
      </w:r>
      <w:r>
        <w:rPr>
          <w:rFonts w:hint="eastAsia"/>
          <w:sz w:val="28"/>
          <w:szCs w:val="28"/>
        </w:rPr>
        <w:t>深化研究生教育改革，提高研究生人才培养质量，重视专业学位研究生的教师教育技能训练和学术学位研究生的科研创新能力训练，加强研究生培养质量监控，研究生学位论文抽检中获优良成绩。调整、优化研究生招生方向和领域，稳定研究生招生规模。</w:t>
      </w:r>
    </w:p>
    <w:p>
      <w:pPr>
        <w:snapToGrid w:val="0"/>
        <w:spacing w:line="360" w:lineRule="auto"/>
        <w:ind w:firstLine="562" w:firstLineChars="200"/>
        <w:textAlignment w:val="baseline"/>
        <w:rPr>
          <w:rFonts w:hint="default" w:eastAsiaTheme="minorEastAsia"/>
          <w:sz w:val="28"/>
          <w:szCs w:val="28"/>
          <w:lang w:val="en-US" w:eastAsia="zh-CN"/>
        </w:rPr>
      </w:pPr>
      <w:r>
        <w:rPr>
          <w:rFonts w:hint="eastAsia"/>
          <w:b/>
          <w:bCs/>
          <w:sz w:val="28"/>
          <w:szCs w:val="28"/>
          <w:lang w:val="en-US" w:eastAsia="zh-CN"/>
        </w:rPr>
        <w:t>6</w:t>
      </w:r>
      <w:r>
        <w:rPr>
          <w:rFonts w:hint="eastAsia"/>
          <w:b/>
          <w:bCs/>
          <w:sz w:val="28"/>
          <w:szCs w:val="28"/>
        </w:rPr>
        <w:t>.深度服务</w:t>
      </w:r>
      <w:r>
        <w:rPr>
          <w:rFonts w:hint="eastAsia"/>
          <w:b/>
          <w:bCs/>
          <w:sz w:val="28"/>
          <w:szCs w:val="28"/>
          <w:lang w:val="en-US" w:eastAsia="zh-CN"/>
        </w:rPr>
        <w:t>基础教育</w:t>
      </w:r>
    </w:p>
    <w:p>
      <w:pPr>
        <w:snapToGrid w:val="0"/>
        <w:spacing w:line="360" w:lineRule="auto"/>
        <w:ind w:firstLine="560" w:firstLineChars="200"/>
        <w:textAlignment w:val="baseline"/>
        <w:rPr>
          <w:sz w:val="28"/>
          <w:szCs w:val="28"/>
        </w:rPr>
      </w:pPr>
      <w:r>
        <w:rPr>
          <w:rFonts w:hint="eastAsia"/>
          <w:sz w:val="28"/>
          <w:szCs w:val="28"/>
          <w:lang w:val="en-US" w:eastAsia="zh-CN"/>
        </w:rPr>
        <w:t>积极</w:t>
      </w:r>
      <w:r>
        <w:rPr>
          <w:rFonts w:hint="eastAsia"/>
          <w:sz w:val="28"/>
          <w:szCs w:val="28"/>
        </w:rPr>
        <w:t>构建政府、高校、企业和</w:t>
      </w:r>
      <w:r>
        <w:rPr>
          <w:rFonts w:hint="eastAsia"/>
          <w:sz w:val="28"/>
          <w:szCs w:val="28"/>
          <w:lang w:val="en-US" w:eastAsia="zh-CN"/>
        </w:rPr>
        <w:t>中小学校</w:t>
      </w:r>
      <w:r>
        <w:rPr>
          <w:rFonts w:hint="eastAsia"/>
          <w:sz w:val="28"/>
          <w:szCs w:val="28"/>
        </w:rPr>
        <w:t>合作</w:t>
      </w:r>
      <w:r>
        <w:rPr>
          <w:rFonts w:hint="eastAsia"/>
          <w:sz w:val="28"/>
          <w:szCs w:val="28"/>
          <w:lang w:val="en-US" w:eastAsia="zh-CN"/>
        </w:rPr>
        <w:t>的</w:t>
      </w:r>
      <w:r>
        <w:rPr>
          <w:rFonts w:hint="eastAsia"/>
          <w:sz w:val="28"/>
          <w:szCs w:val="28"/>
        </w:rPr>
        <w:t>体制机制，拓宽合作领域、深化合作层次、提升合作效益。探索科教、产教、校地融合发展新样板，形成“</w:t>
      </w:r>
      <w:r>
        <w:rPr>
          <w:rFonts w:hint="eastAsia"/>
          <w:sz w:val="28"/>
          <w:szCs w:val="28"/>
          <w:lang w:val="en-US" w:eastAsia="zh-CN"/>
        </w:rPr>
        <w:t>大学</w:t>
      </w:r>
      <w:r>
        <w:rPr>
          <w:rFonts w:hint="eastAsia"/>
          <w:sz w:val="28"/>
          <w:szCs w:val="28"/>
        </w:rPr>
        <w:t>与</w:t>
      </w:r>
      <w:r>
        <w:rPr>
          <w:rFonts w:hint="eastAsia"/>
          <w:sz w:val="28"/>
          <w:szCs w:val="28"/>
          <w:lang w:val="en-US" w:eastAsia="zh-CN"/>
        </w:rPr>
        <w:t>基础教育</w:t>
      </w:r>
      <w:r>
        <w:rPr>
          <w:rFonts w:hint="eastAsia"/>
          <w:sz w:val="28"/>
          <w:szCs w:val="28"/>
        </w:rPr>
        <w:t>运共同体”交融共生新局面。学院依托</w:t>
      </w:r>
      <w:r>
        <w:rPr>
          <w:rFonts w:hint="eastAsia"/>
          <w:sz w:val="28"/>
          <w:szCs w:val="28"/>
          <w:lang w:val="en-US" w:eastAsia="zh-CN"/>
        </w:rPr>
        <w:t>教育</w:t>
      </w:r>
      <w:r>
        <w:rPr>
          <w:rFonts w:hint="eastAsia"/>
          <w:sz w:val="28"/>
          <w:szCs w:val="28"/>
        </w:rPr>
        <w:t>学科专业、师范教育</w:t>
      </w:r>
      <w:r>
        <w:rPr>
          <w:rFonts w:hint="eastAsia"/>
          <w:sz w:val="28"/>
          <w:szCs w:val="28"/>
          <w:lang w:val="en-US" w:eastAsia="zh-CN"/>
        </w:rPr>
        <w:t>省市重点</w:t>
      </w:r>
      <w:r>
        <w:rPr>
          <w:rFonts w:hint="eastAsia"/>
          <w:sz w:val="28"/>
          <w:szCs w:val="28"/>
        </w:rPr>
        <w:t>实验</w:t>
      </w:r>
      <w:r>
        <w:rPr>
          <w:rFonts w:hint="eastAsia"/>
          <w:sz w:val="28"/>
          <w:szCs w:val="28"/>
          <w:lang w:val="en-US" w:eastAsia="zh-CN"/>
        </w:rPr>
        <w:t>室</w:t>
      </w:r>
      <w:r>
        <w:rPr>
          <w:rFonts w:hint="eastAsia"/>
          <w:sz w:val="28"/>
          <w:szCs w:val="28"/>
        </w:rPr>
        <w:t>优势，不断创新校地、校校合作模式</w:t>
      </w:r>
      <w:r>
        <w:rPr>
          <w:rFonts w:hint="eastAsia"/>
          <w:sz w:val="28"/>
          <w:szCs w:val="28"/>
          <w:lang w:eastAsia="zh-CN"/>
        </w:rPr>
        <w:t>。</w:t>
      </w:r>
      <w:r>
        <w:rPr>
          <w:rFonts w:hint="eastAsia"/>
          <w:sz w:val="28"/>
          <w:szCs w:val="28"/>
        </w:rPr>
        <w:t>推进服务团队建设，着力提升服务基础教育、地方社会经济、区域社会发展的能力，横向经费达到2000万元以上。</w:t>
      </w:r>
    </w:p>
    <w:p>
      <w:pPr>
        <w:snapToGrid w:val="0"/>
        <w:spacing w:line="360" w:lineRule="auto"/>
        <w:ind w:firstLine="562" w:firstLineChars="200"/>
        <w:textAlignment w:val="baseline"/>
        <w:rPr>
          <w:rFonts w:hint="eastAsia"/>
          <w:b/>
          <w:bCs/>
          <w:sz w:val="28"/>
          <w:szCs w:val="28"/>
        </w:rPr>
      </w:pPr>
      <w:r>
        <w:rPr>
          <w:rFonts w:hint="eastAsia"/>
          <w:b/>
          <w:bCs/>
          <w:sz w:val="28"/>
          <w:szCs w:val="28"/>
          <w:lang w:val="en-US" w:eastAsia="zh-CN"/>
        </w:rPr>
        <w:t>7</w:t>
      </w:r>
      <w:r>
        <w:rPr>
          <w:rFonts w:hint="eastAsia"/>
          <w:b/>
          <w:bCs/>
          <w:sz w:val="28"/>
          <w:szCs w:val="28"/>
        </w:rPr>
        <w:t>.</w:t>
      </w:r>
      <w:r>
        <w:rPr>
          <w:rFonts w:hint="eastAsia"/>
          <w:b/>
          <w:bCs/>
          <w:sz w:val="28"/>
          <w:szCs w:val="28"/>
          <w:lang w:val="en-US" w:eastAsia="zh-CN"/>
        </w:rPr>
        <w:t>加强党建引领</w:t>
      </w:r>
    </w:p>
    <w:p>
      <w:pPr>
        <w:snapToGrid w:val="0"/>
        <w:spacing w:line="360" w:lineRule="auto"/>
        <w:ind w:firstLine="560" w:firstLineChars="200"/>
        <w:textAlignment w:val="baseline"/>
        <w:rPr>
          <w:rFonts w:hint="default"/>
          <w:sz w:val="28"/>
          <w:szCs w:val="28"/>
          <w:lang w:val="en-US" w:eastAsia="zh-CN"/>
        </w:rPr>
      </w:pPr>
      <w:r>
        <w:rPr>
          <w:rFonts w:hint="eastAsia"/>
          <w:sz w:val="28"/>
          <w:szCs w:val="28"/>
          <w:lang w:val="en-US" w:eastAsia="zh-CN"/>
        </w:rPr>
        <w:t>深入学习贯彻十九届四中、五中全会精神,进一步巩固深化“不忘初心、牢记使命”主题教育、“党史”学习教育成果，形成长效机制。严格落实学院意识形态工作责任制，在落细、落小、落实上下功夫，坚定不移把意识形态工作责任制和学院安全稳定工作相结合，为学院发展保驾护航。坚持“立德树人”根本任务，结合专业特点开展相关主题思想政治教育和实践活动，打造师德师风与专业技能相结合的实践平台升级版。严格党员、干部教育管理，做实先锋引领项目，深化师生学业、身心等结对互动，选树各类先进典型，切实增强党建、班团组织的凝聚力、战斗力，使思想政治教育和“三全育人”更加落细落实。深入推进“红色领航”工程，做强做大“杏坛先锋”品牌，培育2-3个党建创新项目，2-3个党建特色品牌；培育1-2个样板党支部，1-2个“双带头人”支部书记工作室；建成省级党建“标杆院系”和1个省级先进基层党组织。</w:t>
      </w:r>
    </w:p>
    <w:p>
      <w:pPr>
        <w:snapToGrid w:val="0"/>
        <w:spacing w:line="360" w:lineRule="auto"/>
        <w:ind w:firstLine="562" w:firstLineChars="200"/>
        <w:textAlignment w:val="baseline"/>
        <w:rPr>
          <w:b/>
          <w:bCs/>
          <w:sz w:val="28"/>
          <w:szCs w:val="28"/>
        </w:rPr>
      </w:pPr>
      <w:r>
        <w:rPr>
          <w:rFonts w:hint="eastAsia"/>
          <w:b/>
          <w:bCs/>
          <w:color w:val="000000" w:themeColor="text1"/>
          <w:sz w:val="28"/>
          <w:szCs w:val="28"/>
          <w14:textFill>
            <w14:solidFill>
              <w14:schemeClr w14:val="tx1"/>
            </w14:solidFill>
          </w14:textFill>
        </w:rPr>
        <w:t>（二）</w:t>
      </w:r>
      <w:r>
        <w:rPr>
          <w:rFonts w:hint="eastAsia"/>
          <w:b/>
          <w:bCs/>
          <w:sz w:val="28"/>
          <w:szCs w:val="28"/>
        </w:rPr>
        <w:t>推进方案</w:t>
      </w:r>
    </w:p>
    <w:p>
      <w:pPr>
        <w:snapToGrid w:val="0"/>
        <w:spacing w:line="360" w:lineRule="auto"/>
        <w:ind w:firstLine="560" w:firstLineChars="200"/>
        <w:textAlignment w:val="baseline"/>
        <w:rPr>
          <w:rFonts w:hint="eastAsia"/>
          <w:sz w:val="28"/>
          <w:szCs w:val="28"/>
        </w:rPr>
      </w:pPr>
      <w:r>
        <w:rPr>
          <w:rFonts w:hint="eastAsia"/>
          <w:sz w:val="28"/>
          <w:szCs w:val="28"/>
        </w:rPr>
        <w:t>详细方案见附件</w:t>
      </w:r>
    </w:p>
    <w:p>
      <w:pPr>
        <w:snapToGrid w:val="0"/>
        <w:spacing w:line="360" w:lineRule="auto"/>
        <w:ind w:firstLine="560" w:firstLineChars="200"/>
        <w:textAlignment w:val="baseline"/>
        <w:rPr>
          <w:rFonts w:hint="eastAsia"/>
          <w:sz w:val="28"/>
          <w:szCs w:val="28"/>
          <w:lang w:eastAsia="zh-CN"/>
        </w:rPr>
      </w:pPr>
    </w:p>
    <w:p>
      <w:pPr>
        <w:snapToGrid w:val="0"/>
        <w:spacing w:line="360" w:lineRule="auto"/>
        <w:ind w:firstLine="562" w:firstLineChars="200"/>
        <w:textAlignment w:val="baseline"/>
        <w:rPr>
          <w:rFonts w:hint="eastAsia"/>
          <w:b/>
          <w:bCs/>
          <w:color w:val="auto"/>
          <w:sz w:val="28"/>
          <w:szCs w:val="28"/>
        </w:rPr>
      </w:pPr>
      <w:r>
        <w:rPr>
          <w:rFonts w:hint="eastAsia"/>
          <w:b/>
          <w:bCs/>
          <w:color w:val="auto"/>
          <w:sz w:val="28"/>
          <w:szCs w:val="28"/>
        </w:rPr>
        <w:t>五、保障措施</w:t>
      </w:r>
    </w:p>
    <w:p>
      <w:pPr>
        <w:snapToGrid w:val="0"/>
        <w:spacing w:line="360" w:lineRule="auto"/>
        <w:ind w:firstLine="562" w:firstLineChars="200"/>
        <w:textAlignment w:val="baseline"/>
        <w:rPr>
          <w:rFonts w:hint="default" w:eastAsiaTheme="minorEastAsia"/>
          <w:b/>
          <w:bCs/>
          <w:sz w:val="28"/>
          <w:szCs w:val="28"/>
          <w:lang w:val="en-US" w:eastAsia="zh-CN"/>
        </w:rPr>
      </w:pPr>
      <w:r>
        <w:rPr>
          <w:rFonts w:hint="eastAsia"/>
          <w:b/>
          <w:bCs/>
          <w:sz w:val="28"/>
          <w:szCs w:val="28"/>
        </w:rPr>
        <w:t>（一）</w:t>
      </w:r>
      <w:r>
        <w:rPr>
          <w:rFonts w:hint="eastAsia"/>
          <w:b/>
          <w:bCs/>
          <w:sz w:val="28"/>
          <w:szCs w:val="28"/>
          <w:lang w:val="en-US" w:eastAsia="zh-CN"/>
        </w:rPr>
        <w:t>健全组织，加强领导</w:t>
      </w:r>
    </w:p>
    <w:p>
      <w:pPr>
        <w:snapToGrid w:val="0"/>
        <w:spacing w:line="360" w:lineRule="auto"/>
        <w:ind w:firstLine="560" w:firstLineChars="200"/>
        <w:textAlignment w:val="baseline"/>
        <w:rPr>
          <w:rFonts w:hint="default"/>
          <w:sz w:val="28"/>
          <w:szCs w:val="28"/>
          <w:lang w:val="en-US" w:eastAsia="zh-CN"/>
        </w:rPr>
      </w:pPr>
      <w:r>
        <w:rPr>
          <w:rFonts w:hint="eastAsia"/>
          <w:sz w:val="28"/>
          <w:szCs w:val="28"/>
          <w:lang w:val="en-US" w:eastAsia="zh-CN"/>
        </w:rPr>
        <w:t>各种规划的有效实施，需要各级组织的推动、行政的领导，为此，教师教育学院要在党政领导下，在现有行政框架组织的基础上，组建与完善4系、2个学位点、8个学科方向和领域，5个研究中心、2个教学中心、若干个基层教学组织为核心的学术、教学组织体系，加强各组织负责人和运行制度建设，为“十四五”规划的有产落实奠定组织基础。</w:t>
      </w:r>
    </w:p>
    <w:p>
      <w:pPr>
        <w:snapToGrid w:val="0"/>
        <w:spacing w:line="360" w:lineRule="auto"/>
        <w:ind w:firstLine="560" w:firstLineChars="200"/>
        <w:textAlignment w:val="baseline"/>
        <w:rPr>
          <w:sz w:val="28"/>
          <w:szCs w:val="28"/>
        </w:rPr>
      </w:pPr>
      <w:r>
        <w:rPr>
          <w:rFonts w:hint="eastAsia"/>
          <w:sz w:val="28"/>
          <w:szCs w:val="28"/>
        </w:rPr>
        <w:t>根据学院</w:t>
      </w:r>
      <w:r>
        <w:rPr>
          <w:rFonts w:hint="eastAsia"/>
          <w:sz w:val="28"/>
          <w:szCs w:val="28"/>
          <w:lang w:val="en-US" w:eastAsia="zh-CN"/>
        </w:rPr>
        <w:t>的发展目标</w:t>
      </w:r>
      <w:r>
        <w:rPr>
          <w:rFonts w:hint="eastAsia"/>
          <w:sz w:val="28"/>
          <w:szCs w:val="28"/>
        </w:rPr>
        <w:t>，在学校第</w:t>
      </w:r>
      <w:r>
        <w:rPr>
          <w:rFonts w:hint="eastAsia"/>
          <w:sz w:val="28"/>
          <w:szCs w:val="28"/>
          <w:lang w:val="en-US" w:eastAsia="zh-CN"/>
        </w:rPr>
        <w:t>三</w:t>
      </w:r>
      <w:r>
        <w:rPr>
          <w:rFonts w:hint="eastAsia"/>
          <w:sz w:val="28"/>
          <w:szCs w:val="28"/>
        </w:rPr>
        <w:t>轮岗位聘任方案基础上，结合学院</w:t>
      </w:r>
      <w:r>
        <w:rPr>
          <w:rFonts w:hint="eastAsia"/>
          <w:sz w:val="28"/>
          <w:szCs w:val="28"/>
          <w:lang w:val="en-US" w:eastAsia="zh-CN"/>
        </w:rPr>
        <w:t>转型发展的总体要求</w:t>
      </w:r>
      <w:r>
        <w:rPr>
          <w:rFonts w:hint="eastAsia"/>
          <w:sz w:val="28"/>
          <w:szCs w:val="28"/>
        </w:rPr>
        <w:t>，试行教师聘任/考核分类管理，设置教学为主型、科研为主型、教学科研并重型、社会服务型岗位，</w:t>
      </w:r>
      <w:r>
        <w:rPr>
          <w:rFonts w:hint="eastAsia"/>
          <w:sz w:val="28"/>
          <w:szCs w:val="28"/>
          <w:lang w:val="en-US" w:eastAsia="zh-CN"/>
        </w:rPr>
        <w:t>调整考核目标和内容，强化考核环节，以聘任为引导、考核为动力，</w:t>
      </w:r>
      <w:r>
        <w:rPr>
          <w:rFonts w:hint="eastAsia"/>
          <w:sz w:val="28"/>
          <w:szCs w:val="28"/>
        </w:rPr>
        <w:t>以适应教学研究型学院建设的需要</w:t>
      </w:r>
      <w:r>
        <w:rPr>
          <w:rFonts w:hint="eastAsia"/>
          <w:sz w:val="28"/>
          <w:szCs w:val="28"/>
          <w:lang w:eastAsia="zh-CN"/>
        </w:rPr>
        <w:t>，</w:t>
      </w:r>
      <w:r>
        <w:rPr>
          <w:rFonts w:hint="eastAsia"/>
          <w:sz w:val="28"/>
          <w:szCs w:val="28"/>
          <w:lang w:val="en-US" w:eastAsia="zh-CN"/>
        </w:rPr>
        <w:t>充分激励和调动广大教师的教学、科研积极性</w:t>
      </w:r>
      <w:r>
        <w:rPr>
          <w:rFonts w:hint="eastAsia"/>
          <w:sz w:val="28"/>
          <w:szCs w:val="28"/>
        </w:rPr>
        <w:t>。</w:t>
      </w:r>
    </w:p>
    <w:p>
      <w:pPr>
        <w:snapToGrid w:val="0"/>
        <w:spacing w:line="360" w:lineRule="auto"/>
        <w:ind w:firstLine="562" w:firstLineChars="200"/>
        <w:textAlignment w:val="baseline"/>
        <w:rPr>
          <w:rFonts w:hint="default" w:eastAsiaTheme="minorEastAsia"/>
          <w:b/>
          <w:bCs/>
          <w:sz w:val="28"/>
          <w:szCs w:val="28"/>
          <w:lang w:val="en-US" w:eastAsia="zh-CN"/>
        </w:rPr>
      </w:pPr>
      <w:r>
        <w:rPr>
          <w:rFonts w:hint="eastAsia"/>
          <w:b/>
          <w:bCs/>
          <w:sz w:val="28"/>
          <w:szCs w:val="28"/>
        </w:rPr>
        <w:t>（二）</w:t>
      </w:r>
      <w:r>
        <w:rPr>
          <w:rFonts w:hint="eastAsia"/>
          <w:b/>
          <w:bCs/>
          <w:sz w:val="28"/>
          <w:szCs w:val="28"/>
          <w:lang w:val="en-US" w:eastAsia="zh-CN"/>
        </w:rPr>
        <w:t>制定规划，完善制度</w:t>
      </w:r>
    </w:p>
    <w:p>
      <w:pPr>
        <w:snapToGrid w:val="0"/>
        <w:spacing w:line="360" w:lineRule="auto"/>
        <w:ind w:firstLine="560" w:firstLineChars="200"/>
        <w:textAlignment w:val="baseline"/>
        <w:rPr>
          <w:sz w:val="28"/>
          <w:szCs w:val="28"/>
        </w:rPr>
      </w:pPr>
      <w:r>
        <w:rPr>
          <w:rFonts w:hint="eastAsia"/>
          <w:sz w:val="28"/>
          <w:szCs w:val="28"/>
        </w:rPr>
        <w:t>根据《浙江省教育事业发展“十四五”规划》《浙江省高等教育“十四五”发展规划》等文件要求，深入</w:t>
      </w:r>
      <w:r>
        <w:rPr>
          <w:rFonts w:hint="eastAsia"/>
          <w:sz w:val="28"/>
          <w:szCs w:val="28"/>
          <w:lang w:val="en-US" w:eastAsia="zh-CN"/>
        </w:rPr>
        <w:t>研究学校“十四五”发展规划，</w:t>
      </w:r>
      <w:r>
        <w:rPr>
          <w:rFonts w:hint="eastAsia"/>
          <w:sz w:val="28"/>
          <w:szCs w:val="28"/>
        </w:rPr>
        <w:t>贯彻学校第四次党代会精神，全面分析学院基本情况</w:t>
      </w:r>
      <w:r>
        <w:rPr>
          <w:rFonts w:hint="eastAsia"/>
          <w:sz w:val="28"/>
          <w:szCs w:val="28"/>
          <w:lang w:val="en-US" w:eastAsia="zh-CN"/>
        </w:rPr>
        <w:t>和</w:t>
      </w:r>
      <w:r>
        <w:rPr>
          <w:rFonts w:hint="eastAsia"/>
          <w:sz w:val="28"/>
          <w:szCs w:val="28"/>
        </w:rPr>
        <w:t>存在问题</w:t>
      </w:r>
      <w:r>
        <w:rPr>
          <w:rFonts w:hint="eastAsia"/>
          <w:sz w:val="28"/>
          <w:szCs w:val="28"/>
          <w:lang w:val="en-US" w:eastAsia="zh-CN"/>
        </w:rPr>
        <w:t>的基础上，科学制定教师教育学院</w:t>
      </w:r>
      <w:r>
        <w:rPr>
          <w:rFonts w:hint="eastAsia"/>
          <w:sz w:val="28"/>
          <w:szCs w:val="28"/>
        </w:rPr>
        <w:t>“十四五”</w:t>
      </w:r>
      <w:r>
        <w:rPr>
          <w:rFonts w:hint="eastAsia"/>
          <w:sz w:val="28"/>
          <w:szCs w:val="28"/>
          <w:lang w:val="en-US" w:eastAsia="zh-CN"/>
        </w:rPr>
        <w:t>发展</w:t>
      </w:r>
      <w:r>
        <w:rPr>
          <w:rFonts w:hint="eastAsia"/>
          <w:sz w:val="28"/>
          <w:szCs w:val="28"/>
        </w:rPr>
        <w:t>规划</w:t>
      </w:r>
      <w:r>
        <w:rPr>
          <w:rFonts w:hint="eastAsia"/>
          <w:sz w:val="28"/>
          <w:szCs w:val="28"/>
          <w:lang w:eastAsia="zh-CN"/>
        </w:rPr>
        <w:t>、</w:t>
      </w:r>
      <w:r>
        <w:rPr>
          <w:rFonts w:hint="eastAsia"/>
          <w:sz w:val="28"/>
          <w:szCs w:val="28"/>
          <w:lang w:val="en-US" w:eastAsia="zh-CN"/>
        </w:rPr>
        <w:t>教育博士点培育方案、教育学硕士点发展规划、教育硕士发展规划、学科方向团队和教学团队建设办法、教学科研成果奖励办法、第四轮岗位聘任与考核管理办法等重要文件，为学院的科学发展提供制度保障。</w:t>
      </w:r>
    </w:p>
    <w:p>
      <w:pPr>
        <w:snapToGrid w:val="0"/>
        <w:spacing w:line="360" w:lineRule="auto"/>
        <w:ind w:firstLine="562" w:firstLineChars="200"/>
        <w:textAlignment w:val="baseline"/>
        <w:rPr>
          <w:rFonts w:hint="default" w:eastAsiaTheme="minorEastAsia"/>
          <w:b/>
          <w:bCs/>
          <w:sz w:val="28"/>
          <w:szCs w:val="28"/>
          <w:lang w:val="en-US" w:eastAsia="zh-CN"/>
        </w:rPr>
      </w:pPr>
      <w:r>
        <w:rPr>
          <w:rFonts w:hint="eastAsia"/>
          <w:b/>
          <w:bCs/>
          <w:sz w:val="28"/>
          <w:szCs w:val="28"/>
        </w:rPr>
        <w:t>（三）</w:t>
      </w:r>
      <w:r>
        <w:rPr>
          <w:rFonts w:hint="eastAsia"/>
          <w:b/>
          <w:bCs/>
          <w:sz w:val="28"/>
          <w:szCs w:val="28"/>
          <w:lang w:val="en-US" w:eastAsia="zh-CN"/>
        </w:rPr>
        <w:t>引培结合，培养队伍</w:t>
      </w:r>
    </w:p>
    <w:p>
      <w:pPr>
        <w:snapToGrid w:val="0"/>
        <w:spacing w:line="360" w:lineRule="auto"/>
        <w:ind w:firstLine="560" w:firstLineChars="200"/>
        <w:textAlignment w:val="baseline"/>
        <w:rPr>
          <w:rFonts w:hint="default" w:eastAsiaTheme="minorEastAsia"/>
          <w:sz w:val="28"/>
          <w:szCs w:val="28"/>
          <w:lang w:val="en-US" w:eastAsia="zh-CN"/>
        </w:rPr>
      </w:pPr>
      <w:r>
        <w:rPr>
          <w:rFonts w:hint="eastAsia"/>
          <w:sz w:val="28"/>
          <w:szCs w:val="28"/>
          <w:lang w:val="en-US" w:eastAsia="zh-CN"/>
        </w:rPr>
        <w:t>教师队伍是学院发展的基础。在学院转型发展的关键时期，</w:t>
      </w:r>
      <w:r>
        <w:rPr>
          <w:rFonts w:hint="eastAsia"/>
          <w:sz w:val="28"/>
          <w:szCs w:val="28"/>
        </w:rPr>
        <w:t>坚持党管干部、党管人才原则，</w:t>
      </w:r>
      <w:r>
        <w:rPr>
          <w:rFonts w:hint="eastAsia"/>
          <w:sz w:val="28"/>
          <w:szCs w:val="28"/>
          <w:lang w:val="en-US" w:eastAsia="zh-CN"/>
        </w:rPr>
        <w:t>通过外部引进与内部培养相结合的方式，借助聘任柔性专家的指导，大力</w:t>
      </w:r>
      <w:r>
        <w:rPr>
          <w:rFonts w:hint="eastAsia"/>
          <w:sz w:val="28"/>
          <w:szCs w:val="28"/>
        </w:rPr>
        <w:t>推进人才工程</w:t>
      </w:r>
      <w:r>
        <w:rPr>
          <w:rFonts w:hint="eastAsia"/>
          <w:sz w:val="28"/>
          <w:szCs w:val="28"/>
          <w:lang w:val="en-US" w:eastAsia="zh-CN"/>
        </w:rPr>
        <w:t>建设</w:t>
      </w:r>
      <w:r>
        <w:rPr>
          <w:rFonts w:hint="eastAsia"/>
          <w:sz w:val="28"/>
          <w:szCs w:val="28"/>
        </w:rPr>
        <w:t>。</w:t>
      </w:r>
      <w:r>
        <w:rPr>
          <w:rFonts w:hint="eastAsia"/>
          <w:sz w:val="28"/>
          <w:szCs w:val="28"/>
          <w:lang w:val="en-US" w:eastAsia="zh-CN"/>
        </w:rPr>
        <w:t>积极引进有潜力的学科带头人和方向负责人，全力培养学科骨干，</w:t>
      </w:r>
      <w:r>
        <w:rPr>
          <w:rFonts w:hint="eastAsia"/>
          <w:sz w:val="28"/>
          <w:szCs w:val="28"/>
        </w:rPr>
        <w:t>组建一支政治思想过硬、专业素养高</w:t>
      </w:r>
      <w:r>
        <w:rPr>
          <w:rFonts w:hint="eastAsia"/>
          <w:sz w:val="28"/>
          <w:szCs w:val="28"/>
          <w:lang w:val="en-US" w:eastAsia="zh-CN"/>
        </w:rPr>
        <w:t>的硕士生、博士生导师</w:t>
      </w:r>
      <w:r>
        <w:rPr>
          <w:rFonts w:hint="eastAsia"/>
          <w:sz w:val="28"/>
          <w:szCs w:val="28"/>
        </w:rPr>
        <w:t>队伍。</w:t>
      </w:r>
    </w:p>
    <w:p>
      <w:pPr>
        <w:numPr>
          <w:ilvl w:val="0"/>
          <w:numId w:val="0"/>
        </w:numPr>
        <w:spacing w:line="360" w:lineRule="auto"/>
        <w:ind w:firstLine="562" w:firstLineChars="200"/>
        <w:jc w:val="left"/>
        <w:textAlignment w:val="baseline"/>
        <w:rPr>
          <w:rFonts w:hint="default"/>
          <w:b/>
          <w:bCs/>
          <w:sz w:val="28"/>
          <w:szCs w:val="28"/>
          <w:lang w:val="en-US" w:eastAsia="zh-CN"/>
        </w:rPr>
      </w:pPr>
      <w:r>
        <w:rPr>
          <w:rFonts w:hint="eastAsia"/>
          <w:b/>
          <w:bCs/>
          <w:sz w:val="28"/>
          <w:szCs w:val="28"/>
          <w:lang w:eastAsia="zh-CN"/>
        </w:rPr>
        <w:t>（</w:t>
      </w:r>
      <w:r>
        <w:rPr>
          <w:rFonts w:hint="eastAsia"/>
          <w:b/>
          <w:bCs/>
          <w:sz w:val="28"/>
          <w:szCs w:val="28"/>
          <w:lang w:val="en-US" w:eastAsia="zh-CN"/>
        </w:rPr>
        <w:t>四</w:t>
      </w:r>
      <w:r>
        <w:rPr>
          <w:rFonts w:hint="eastAsia"/>
          <w:b/>
          <w:bCs/>
          <w:sz w:val="28"/>
          <w:szCs w:val="28"/>
          <w:lang w:eastAsia="zh-CN"/>
        </w:rPr>
        <w:t>）</w:t>
      </w:r>
      <w:r>
        <w:rPr>
          <w:rFonts w:hint="eastAsia"/>
          <w:b/>
          <w:bCs/>
          <w:sz w:val="28"/>
          <w:szCs w:val="28"/>
          <w:lang w:val="en-US" w:eastAsia="zh-CN"/>
        </w:rPr>
        <w:t>依托团队，保证落实</w:t>
      </w:r>
    </w:p>
    <w:p>
      <w:pPr>
        <w:numPr>
          <w:ilvl w:val="0"/>
          <w:numId w:val="0"/>
        </w:numPr>
        <w:spacing w:line="360" w:lineRule="auto"/>
        <w:ind w:firstLine="560" w:firstLineChars="200"/>
        <w:jc w:val="left"/>
        <w:textAlignment w:val="baseline"/>
        <w:rPr>
          <w:rFonts w:hint="eastAsia"/>
          <w:sz w:val="28"/>
          <w:szCs w:val="28"/>
        </w:rPr>
      </w:pPr>
      <w:r>
        <w:rPr>
          <w:rFonts w:hint="eastAsia"/>
          <w:sz w:val="28"/>
          <w:szCs w:val="28"/>
          <w:lang w:val="en-US" w:eastAsia="zh-CN"/>
        </w:rPr>
        <w:t>规划的核心在于落实，落实的关键在于团队，学科与教学团队是教学科研成果的主要承担者，学院要以第四轮岗位聘任为契机，对标学科建设与教学工作的重要目标任务，明确学科团队、教学团队的主要工作。学院将</w:t>
      </w:r>
      <w:r>
        <w:rPr>
          <w:rFonts w:hint="eastAsia"/>
          <w:sz w:val="28"/>
          <w:szCs w:val="28"/>
        </w:rPr>
        <w:t>按照</w:t>
      </w:r>
      <w:r>
        <w:rPr>
          <w:rFonts w:hint="eastAsia"/>
          <w:sz w:val="28"/>
          <w:szCs w:val="28"/>
          <w:lang w:eastAsia="zh-CN"/>
        </w:rPr>
        <w:t>“</w:t>
      </w:r>
      <w:r>
        <w:rPr>
          <w:rFonts w:hint="eastAsia"/>
          <w:sz w:val="28"/>
          <w:szCs w:val="28"/>
          <w:lang w:val="en-US" w:eastAsia="zh-CN"/>
        </w:rPr>
        <w:t>十四五”</w:t>
      </w:r>
      <w:r>
        <w:rPr>
          <w:rFonts w:hint="eastAsia"/>
          <w:sz w:val="28"/>
          <w:szCs w:val="28"/>
        </w:rPr>
        <w:t>规划的部署与要求，实施年度工作目标责任制度</w:t>
      </w:r>
      <w:r>
        <w:rPr>
          <w:rFonts w:hint="eastAsia"/>
          <w:sz w:val="28"/>
          <w:szCs w:val="28"/>
          <w:lang w:eastAsia="zh-CN"/>
        </w:rPr>
        <w:t>，</w:t>
      </w:r>
      <w:r>
        <w:rPr>
          <w:rFonts w:hint="eastAsia"/>
          <w:sz w:val="28"/>
          <w:szCs w:val="28"/>
          <w:lang w:val="en-US" w:eastAsia="zh-CN"/>
        </w:rPr>
        <w:t>每年11月份确定第二年的任务落实清单</w:t>
      </w:r>
      <w:r>
        <w:rPr>
          <w:rFonts w:hint="eastAsia"/>
          <w:sz w:val="28"/>
          <w:szCs w:val="28"/>
          <w:lang w:eastAsia="zh-CN"/>
        </w:rPr>
        <w:t>，</w:t>
      </w:r>
      <w:r>
        <w:rPr>
          <w:rFonts w:hint="eastAsia"/>
          <w:sz w:val="28"/>
          <w:szCs w:val="28"/>
          <w:lang w:val="en-US" w:eastAsia="zh-CN"/>
        </w:rPr>
        <w:t>做到</w:t>
      </w:r>
      <w:r>
        <w:rPr>
          <w:rFonts w:hint="eastAsia"/>
          <w:sz w:val="28"/>
          <w:szCs w:val="28"/>
        </w:rPr>
        <w:t>每类</w:t>
      </w:r>
      <w:r>
        <w:rPr>
          <w:rFonts w:hint="eastAsia"/>
          <w:sz w:val="28"/>
          <w:szCs w:val="28"/>
          <w:lang w:val="en-US" w:eastAsia="zh-CN"/>
        </w:rPr>
        <w:t>重要</w:t>
      </w:r>
      <w:r>
        <w:rPr>
          <w:rFonts w:hint="eastAsia"/>
          <w:sz w:val="28"/>
          <w:szCs w:val="28"/>
        </w:rPr>
        <w:t>工作落实到分管领导，每项</w:t>
      </w:r>
      <w:r>
        <w:rPr>
          <w:rFonts w:hint="eastAsia"/>
          <w:sz w:val="28"/>
          <w:szCs w:val="28"/>
          <w:lang w:val="en-US" w:eastAsia="zh-CN"/>
        </w:rPr>
        <w:t>标志性任务</w:t>
      </w:r>
      <w:r>
        <w:rPr>
          <w:rFonts w:hint="eastAsia"/>
          <w:sz w:val="28"/>
          <w:szCs w:val="28"/>
        </w:rPr>
        <w:t>落实到人，确保“十四五”规划圆满完成。</w:t>
      </w:r>
    </w:p>
    <w:p>
      <w:pPr>
        <w:numPr>
          <w:ilvl w:val="0"/>
          <w:numId w:val="0"/>
        </w:numPr>
        <w:spacing w:line="360" w:lineRule="auto"/>
        <w:ind w:firstLine="560" w:firstLineChars="200"/>
        <w:jc w:val="left"/>
        <w:textAlignment w:val="baseline"/>
        <w:rPr>
          <w:rFonts w:hint="eastAsia"/>
          <w:sz w:val="28"/>
          <w:szCs w:val="28"/>
        </w:rPr>
      </w:pPr>
    </w:p>
    <w:p>
      <w:pPr>
        <w:numPr>
          <w:ilvl w:val="0"/>
          <w:numId w:val="0"/>
        </w:numPr>
        <w:spacing w:line="360" w:lineRule="auto"/>
        <w:ind w:firstLine="560" w:firstLineChars="200"/>
        <w:jc w:val="left"/>
        <w:textAlignment w:val="baseline"/>
        <w:rPr>
          <w:rFonts w:hint="eastAsia"/>
          <w:sz w:val="28"/>
          <w:szCs w:val="28"/>
        </w:rPr>
      </w:pPr>
    </w:p>
    <w:p>
      <w:pPr>
        <w:numPr>
          <w:ilvl w:val="0"/>
          <w:numId w:val="0"/>
        </w:numPr>
        <w:spacing w:line="360" w:lineRule="auto"/>
        <w:ind w:firstLine="560" w:firstLineChars="200"/>
        <w:jc w:val="left"/>
        <w:textAlignment w:val="baseline"/>
        <w:rPr>
          <w:rFonts w:hint="eastAsia"/>
          <w:sz w:val="28"/>
          <w:szCs w:val="28"/>
        </w:rPr>
        <w:sectPr>
          <w:headerReference r:id="rId3" w:type="default"/>
          <w:footerReference r:id="rId4" w:type="default"/>
          <w:pgSz w:w="11906" w:h="16838"/>
          <w:pgMar w:top="1440" w:right="1457" w:bottom="1440" w:left="1457" w:header="851" w:footer="992" w:gutter="0"/>
          <w:cols w:space="425" w:num="1"/>
          <w:docGrid w:type="lines" w:linePitch="312" w:charSpace="0"/>
        </w:sectPr>
      </w:pPr>
    </w:p>
    <w:p>
      <w:pPr>
        <w:adjustRightInd w:val="0"/>
        <w:snapToGrid w:val="0"/>
        <w:jc w:val="center"/>
        <w:rPr>
          <w:sz w:val="24"/>
          <w:szCs w:val="24"/>
        </w:rPr>
      </w:pPr>
      <w:r>
        <w:rPr>
          <w:rFonts w:hint="eastAsia"/>
          <w:b/>
          <w:bCs/>
          <w:sz w:val="44"/>
          <w:szCs w:val="44"/>
        </w:rPr>
        <w:t>教师教育学院“十四五”发展规划推进方案</w:t>
      </w:r>
    </w:p>
    <w:tbl>
      <w:tblPr>
        <w:tblStyle w:val="9"/>
        <w:tblpPr w:leftFromText="180" w:rightFromText="180" w:vertAnchor="text" w:horzAnchor="page" w:tblpX="1278" w:tblpY="230"/>
        <w:tblOverlap w:val="never"/>
        <w:tblW w:w="14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0"/>
        <w:gridCol w:w="876"/>
        <w:gridCol w:w="2510"/>
        <w:gridCol w:w="2593"/>
        <w:gridCol w:w="2695"/>
        <w:gridCol w:w="2582"/>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410" w:type="dxa"/>
          </w:tcPr>
          <w:p>
            <w:pPr>
              <w:adjustRightInd w:val="0"/>
              <w:snapToGrid w:val="0"/>
              <w:rPr>
                <w:rFonts w:asciiTheme="minorEastAsia" w:hAnsiTheme="minorEastAsia"/>
                <w:sz w:val="28"/>
                <w:szCs w:val="28"/>
              </w:rPr>
            </w:pPr>
          </w:p>
        </w:tc>
        <w:tc>
          <w:tcPr>
            <w:tcW w:w="876" w:type="dxa"/>
          </w:tcPr>
          <w:p>
            <w:pPr>
              <w:adjustRightInd w:val="0"/>
              <w:snapToGrid w:val="0"/>
              <w:rPr>
                <w:rFonts w:asciiTheme="minorEastAsia" w:hAnsiTheme="minorEastAsia"/>
                <w:sz w:val="28"/>
                <w:szCs w:val="28"/>
              </w:rPr>
            </w:pPr>
          </w:p>
        </w:tc>
        <w:tc>
          <w:tcPr>
            <w:tcW w:w="2510" w:type="dxa"/>
          </w:tcPr>
          <w:p>
            <w:pPr>
              <w:adjustRightInd w:val="0"/>
              <w:snapToGrid w:val="0"/>
              <w:rPr>
                <w:rFonts w:asciiTheme="minorEastAsia" w:hAnsiTheme="minorEastAsia"/>
                <w:sz w:val="28"/>
                <w:szCs w:val="28"/>
              </w:rPr>
            </w:pPr>
            <w:r>
              <w:rPr>
                <w:rFonts w:hint="eastAsia" w:asciiTheme="minorEastAsia" w:hAnsiTheme="minorEastAsia"/>
                <w:sz w:val="28"/>
                <w:szCs w:val="28"/>
              </w:rPr>
              <w:t>2021年</w:t>
            </w:r>
          </w:p>
        </w:tc>
        <w:tc>
          <w:tcPr>
            <w:tcW w:w="2593" w:type="dxa"/>
          </w:tcPr>
          <w:p>
            <w:pPr>
              <w:adjustRightInd w:val="0"/>
              <w:snapToGrid w:val="0"/>
              <w:rPr>
                <w:rFonts w:asciiTheme="minorEastAsia" w:hAnsiTheme="minorEastAsia"/>
                <w:sz w:val="28"/>
                <w:szCs w:val="28"/>
              </w:rPr>
            </w:pPr>
            <w:r>
              <w:rPr>
                <w:rFonts w:hint="eastAsia" w:asciiTheme="minorEastAsia" w:hAnsiTheme="minorEastAsia"/>
                <w:sz w:val="28"/>
                <w:szCs w:val="28"/>
              </w:rPr>
              <w:t>2022年</w:t>
            </w:r>
          </w:p>
        </w:tc>
        <w:tc>
          <w:tcPr>
            <w:tcW w:w="2695" w:type="dxa"/>
          </w:tcPr>
          <w:p>
            <w:pPr>
              <w:adjustRightInd w:val="0"/>
              <w:snapToGrid w:val="0"/>
              <w:rPr>
                <w:rFonts w:asciiTheme="minorEastAsia" w:hAnsiTheme="minorEastAsia"/>
                <w:sz w:val="28"/>
                <w:szCs w:val="28"/>
              </w:rPr>
            </w:pPr>
            <w:r>
              <w:rPr>
                <w:rFonts w:hint="eastAsia" w:asciiTheme="minorEastAsia" w:hAnsiTheme="minorEastAsia"/>
                <w:sz w:val="28"/>
                <w:szCs w:val="28"/>
              </w:rPr>
              <w:t>2023年</w:t>
            </w:r>
          </w:p>
        </w:tc>
        <w:tc>
          <w:tcPr>
            <w:tcW w:w="2582" w:type="dxa"/>
          </w:tcPr>
          <w:p>
            <w:pPr>
              <w:adjustRightInd w:val="0"/>
              <w:snapToGrid w:val="0"/>
              <w:rPr>
                <w:rFonts w:asciiTheme="minorEastAsia" w:hAnsiTheme="minorEastAsia"/>
                <w:sz w:val="28"/>
                <w:szCs w:val="28"/>
              </w:rPr>
            </w:pPr>
            <w:r>
              <w:rPr>
                <w:rFonts w:hint="eastAsia" w:asciiTheme="minorEastAsia" w:hAnsiTheme="minorEastAsia"/>
                <w:sz w:val="28"/>
                <w:szCs w:val="28"/>
              </w:rPr>
              <w:t>2024年</w:t>
            </w:r>
          </w:p>
        </w:tc>
        <w:tc>
          <w:tcPr>
            <w:tcW w:w="3100" w:type="dxa"/>
          </w:tcPr>
          <w:p>
            <w:pPr>
              <w:adjustRightInd w:val="0"/>
              <w:snapToGrid w:val="0"/>
              <w:rPr>
                <w:rFonts w:asciiTheme="minorEastAsia" w:hAnsiTheme="minorEastAsia"/>
                <w:sz w:val="28"/>
                <w:szCs w:val="28"/>
              </w:rPr>
            </w:pPr>
            <w:r>
              <w:rPr>
                <w:rFonts w:hint="eastAsia" w:asciiTheme="minorEastAsia" w:hAnsiTheme="minorEastAsia"/>
                <w:sz w:val="28"/>
                <w:szCs w:val="28"/>
              </w:rPr>
              <w:t>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trPr>
        <w:tc>
          <w:tcPr>
            <w:tcW w:w="410" w:type="dxa"/>
          </w:tcPr>
          <w:p>
            <w:pPr>
              <w:adjustRightInd w:val="0"/>
              <w:snapToGrid w:val="0"/>
              <w:spacing w:line="360" w:lineRule="auto"/>
              <w:rPr>
                <w:sz w:val="28"/>
                <w:szCs w:val="28"/>
              </w:rPr>
            </w:pPr>
            <w:r>
              <w:rPr>
                <w:rFonts w:hint="eastAsia"/>
                <w:sz w:val="28"/>
                <w:szCs w:val="28"/>
              </w:rPr>
              <w:t>1</w:t>
            </w:r>
          </w:p>
        </w:tc>
        <w:tc>
          <w:tcPr>
            <w:tcW w:w="876"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人才队伍</w:t>
            </w:r>
          </w:p>
        </w:tc>
        <w:tc>
          <w:tcPr>
            <w:tcW w:w="2510"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引进博士8人、形成1个特色比较明显的学科团队（乡村教育）、形成1个稳定的教学团队（技能训导)。</w:t>
            </w:r>
          </w:p>
        </w:tc>
        <w:tc>
          <w:tcPr>
            <w:tcW w:w="2593"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引进学科带头/方向负责人1名、博士8人、形成1个特色明显的学科团队（教师教育）、形成1个稳定而有特色的教学团队（小教）。新增教授1人。</w:t>
            </w:r>
          </w:p>
        </w:tc>
        <w:tc>
          <w:tcPr>
            <w:tcW w:w="2695"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引进学科带头/方向负责人1名、博士10人、形成2个有特色的学科团队（原理、教育信息化）、形成1个有特色的教学团队（教技）。新增教授1-2人。</w:t>
            </w:r>
          </w:p>
        </w:tc>
        <w:tc>
          <w:tcPr>
            <w:tcW w:w="2582"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引进学科带头/方向负责人1名、博士10人、形成2个有特色的学科团队（教学论、学前教育）、2个有特色的教学团队（学前、心理）。新增教授2人。</w:t>
            </w:r>
          </w:p>
        </w:tc>
        <w:tc>
          <w:tcPr>
            <w:tcW w:w="3100"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引进学科带头/方向负责人1名、博士10人。专业教师达到110人，博士比较达到80%以上，形成3-4个特色明显的学科团队、5个稳定的教学团队。新增教授3人，正高职称教师</w:t>
            </w:r>
            <w:r>
              <w:rPr>
                <w:rFonts w:hint="eastAsia" w:asciiTheme="minorEastAsia" w:hAnsiTheme="minorEastAsia" w:cstheme="minorEastAsia"/>
                <w:szCs w:val="21"/>
                <w:lang w:val="en-US" w:eastAsia="zh-CN"/>
              </w:rPr>
              <w:t>稳定在15</w:t>
            </w:r>
            <w:r>
              <w:rPr>
                <w:rFonts w:hint="eastAsia" w:asciiTheme="minorEastAsia" w:hAnsiTheme="minorEastAsia" w:cstheme="minorEastAsia"/>
                <w:szCs w:val="21"/>
              </w:rPr>
              <w:t>人</w:t>
            </w:r>
            <w:r>
              <w:rPr>
                <w:rFonts w:hint="eastAsia" w:asciiTheme="minorEastAsia" w:hAnsiTheme="minorEastAsia" w:cstheme="minorEastAsia"/>
                <w:szCs w:val="21"/>
                <w:lang w:val="en-US" w:eastAsia="zh-CN"/>
              </w:rPr>
              <w:t>以上</w:t>
            </w:r>
            <w:r>
              <w:rPr>
                <w:rFonts w:hint="eastAsia" w:asciiTheme="minorEastAsia" w:hAnsiTheme="minorEastAsia" w:cs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286" w:type="dxa"/>
            <w:gridSpan w:val="2"/>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牵头负责人</w:t>
            </w:r>
          </w:p>
        </w:tc>
        <w:tc>
          <w:tcPr>
            <w:tcW w:w="2510"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刘世清</w:t>
            </w:r>
          </w:p>
        </w:tc>
        <w:tc>
          <w:tcPr>
            <w:tcW w:w="2593"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刘世清</w:t>
            </w:r>
          </w:p>
        </w:tc>
        <w:tc>
          <w:tcPr>
            <w:tcW w:w="2695"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刘世清</w:t>
            </w:r>
          </w:p>
        </w:tc>
        <w:tc>
          <w:tcPr>
            <w:tcW w:w="2582"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刘世清</w:t>
            </w:r>
          </w:p>
        </w:tc>
        <w:tc>
          <w:tcPr>
            <w:tcW w:w="3100" w:type="dxa"/>
          </w:tcPr>
          <w:p>
            <w:pPr>
              <w:adjustRightInd w:val="0"/>
              <w:snapToGrid w:val="0"/>
              <w:rPr>
                <w:rFonts w:asciiTheme="minorEastAsia" w:hAnsiTheme="minorEastAsia" w:cstheme="minorEastAsia"/>
                <w:b/>
                <w:bCs/>
                <w:szCs w:val="21"/>
              </w:rPr>
            </w:pPr>
            <w:r>
              <w:rPr>
                <w:rFonts w:hint="eastAsia" w:asciiTheme="minorEastAsia" w:hAnsiTheme="minorEastAsia" w:cstheme="minorEastAsia"/>
                <w:szCs w:val="21"/>
              </w:rPr>
              <w:t>刘世清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 w:type="dxa"/>
          </w:tcPr>
          <w:p>
            <w:pPr>
              <w:adjustRightInd w:val="0"/>
              <w:snapToGrid w:val="0"/>
              <w:spacing w:line="360" w:lineRule="auto"/>
              <w:rPr>
                <w:sz w:val="28"/>
                <w:szCs w:val="28"/>
              </w:rPr>
            </w:pPr>
            <w:r>
              <w:rPr>
                <w:rFonts w:hint="eastAsia"/>
                <w:sz w:val="28"/>
                <w:szCs w:val="28"/>
              </w:rPr>
              <w:t>2</w:t>
            </w:r>
          </w:p>
        </w:tc>
        <w:tc>
          <w:tcPr>
            <w:tcW w:w="876"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学科和研究生教育</w:t>
            </w:r>
          </w:p>
        </w:tc>
        <w:tc>
          <w:tcPr>
            <w:tcW w:w="2510" w:type="dxa"/>
            <w:vAlign w:val="top"/>
          </w:tcPr>
          <w:p>
            <w:pPr>
              <w:adjustRightInd w:val="0"/>
              <w:snapToGrid w:val="0"/>
              <w:rPr>
                <w:rFonts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培育教育博士点，形成1个有特色的研究方向（乡村教育），参加教育学2021年第五轮学科评估。做好教育学和教育硕士两个点的迎评工作。新增教育硕士研究生实践基地10个，增加教育硕士实践导师26人。获批浙江省研究生教育学会科研项目2项，硕士研究生获批13项科研创新项目，1人获得教育硕士专业学位研究生教学技能大赛二等奖。研究生发表论文53篇</w:t>
            </w:r>
            <w:r>
              <w:rPr>
                <w:rFonts w:hint="eastAsia" w:asciiTheme="minorEastAsia" w:hAnsiTheme="minorEastAsia" w:cstheme="minorEastAsia"/>
                <w:color w:val="auto"/>
                <w:szCs w:val="21"/>
                <w:highlight w:val="none"/>
                <w:lang w:eastAsia="zh-CN"/>
              </w:rPr>
              <w:t>（</w:t>
            </w:r>
            <w:r>
              <w:rPr>
                <w:rFonts w:hint="eastAsia" w:asciiTheme="minorEastAsia" w:hAnsiTheme="minorEastAsia" w:cstheme="minorEastAsia"/>
                <w:color w:val="auto"/>
                <w:szCs w:val="21"/>
                <w:highlight w:val="none"/>
              </w:rPr>
              <w:t>核心及以上8篇</w:t>
            </w:r>
            <w:r>
              <w:rPr>
                <w:rFonts w:hint="eastAsia" w:asciiTheme="minorEastAsia" w:hAnsiTheme="minorEastAsia" w:cstheme="minorEastAsia"/>
                <w:color w:val="auto"/>
                <w:szCs w:val="21"/>
                <w:highlight w:val="none"/>
                <w:lang w:eastAsia="zh-CN"/>
              </w:rPr>
              <w:t>）</w:t>
            </w:r>
            <w:r>
              <w:rPr>
                <w:rFonts w:hint="eastAsia" w:asciiTheme="minorEastAsia" w:hAnsiTheme="minorEastAsia" w:cstheme="minorEastAsia"/>
                <w:color w:val="auto"/>
                <w:szCs w:val="21"/>
                <w:highlight w:val="none"/>
              </w:rPr>
              <w:t>。</w:t>
            </w:r>
          </w:p>
        </w:tc>
        <w:tc>
          <w:tcPr>
            <w:tcW w:w="2593" w:type="dxa"/>
            <w:vAlign w:val="top"/>
          </w:tcPr>
          <w:p>
            <w:pPr>
              <w:adjustRightInd w:val="0"/>
              <w:snapToGrid w:val="0"/>
              <w:rPr>
                <w:rFonts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培育教育博士点，形成2个有特色的研究方向。两个硕士点的建设及2022年合格评估，扩大专业硕士点招生领域，教育硕士优秀案例1-2个, 调整学硕招生专业，联合培养博士单位1个，新增博士生导师资格1人。增加3-5个教育硕士研究生实践基地。硕士研究生省级以上学科竞赛获奖1-2个。2019级国内研究生毕业率达到90%以上。省优硕士学位论文1篇。研究生发表论文76篇</w:t>
            </w:r>
            <w:r>
              <w:rPr>
                <w:rFonts w:hint="eastAsia" w:asciiTheme="minorEastAsia" w:hAnsiTheme="minorEastAsia" w:cstheme="minorEastAsia"/>
                <w:color w:val="auto"/>
                <w:szCs w:val="21"/>
                <w:highlight w:val="none"/>
                <w:lang w:eastAsia="zh-CN"/>
              </w:rPr>
              <w:t>（</w:t>
            </w:r>
            <w:r>
              <w:rPr>
                <w:rFonts w:hint="eastAsia" w:asciiTheme="minorEastAsia" w:hAnsiTheme="minorEastAsia" w:cstheme="minorEastAsia"/>
                <w:color w:val="auto"/>
                <w:szCs w:val="21"/>
                <w:highlight w:val="none"/>
              </w:rPr>
              <w:t>核心及以上11篇</w:t>
            </w:r>
            <w:r>
              <w:rPr>
                <w:rFonts w:hint="eastAsia" w:asciiTheme="minorEastAsia" w:hAnsiTheme="minorEastAsia" w:cstheme="minorEastAsia"/>
                <w:color w:val="auto"/>
                <w:szCs w:val="21"/>
                <w:highlight w:val="none"/>
                <w:lang w:eastAsia="zh-CN"/>
              </w:rPr>
              <w:t>）</w:t>
            </w:r>
            <w:r>
              <w:rPr>
                <w:rFonts w:hint="eastAsia" w:asciiTheme="minorEastAsia" w:hAnsiTheme="minorEastAsia" w:cstheme="minorEastAsia"/>
                <w:color w:val="auto"/>
                <w:szCs w:val="21"/>
                <w:highlight w:val="none"/>
              </w:rPr>
              <w:t>。</w:t>
            </w:r>
          </w:p>
        </w:tc>
        <w:tc>
          <w:tcPr>
            <w:tcW w:w="2695" w:type="dxa"/>
            <w:vAlign w:val="top"/>
          </w:tcPr>
          <w:p>
            <w:pPr>
              <w:adjustRightInd w:val="0"/>
              <w:snapToGrid w:val="0"/>
              <w:rPr>
                <w:rFonts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培育教育博士点，形成2个有特色的研究方向。申报应用心理学专业学位点，教育硕士优秀案例1-2个。联合培养博士单位1个，新增博士生导师资格2人。省级以上一流学科1个。增加3-5个教育硕士研究生实践基地。硕士研究生省级以上学科竞赛获奖2-3个。2020级国内研究生毕业率达到95%以上。研究生毕业论文抽检合格率达到100%。省优硕士学位论文1篇。研究生发表论文</w:t>
            </w:r>
            <w:r>
              <w:rPr>
                <w:rFonts w:hint="eastAsia" w:asciiTheme="minorEastAsia" w:hAnsiTheme="minorEastAsia" w:cstheme="minorEastAsia"/>
                <w:color w:val="auto"/>
                <w:szCs w:val="21"/>
                <w:highlight w:val="none"/>
                <w:lang w:val="en-US" w:eastAsia="zh-CN"/>
              </w:rPr>
              <w:t>80</w:t>
            </w:r>
            <w:r>
              <w:rPr>
                <w:rFonts w:hint="eastAsia" w:asciiTheme="minorEastAsia" w:hAnsiTheme="minorEastAsia" w:cstheme="minorEastAsia"/>
                <w:color w:val="auto"/>
                <w:szCs w:val="21"/>
                <w:highlight w:val="none"/>
              </w:rPr>
              <w:t>篇</w:t>
            </w:r>
            <w:r>
              <w:rPr>
                <w:rFonts w:hint="eastAsia" w:asciiTheme="minorEastAsia" w:hAnsiTheme="minorEastAsia" w:cstheme="minorEastAsia"/>
                <w:color w:val="auto"/>
                <w:szCs w:val="21"/>
                <w:highlight w:val="none"/>
                <w:lang w:eastAsia="zh-CN"/>
              </w:rPr>
              <w:t>（</w:t>
            </w:r>
            <w:r>
              <w:rPr>
                <w:rFonts w:hint="eastAsia" w:asciiTheme="minorEastAsia" w:hAnsiTheme="minorEastAsia" w:cstheme="minorEastAsia"/>
                <w:color w:val="auto"/>
                <w:szCs w:val="21"/>
                <w:highlight w:val="none"/>
              </w:rPr>
              <w:t>核心及以上1</w:t>
            </w:r>
            <w:r>
              <w:rPr>
                <w:rFonts w:hint="eastAsia" w:asciiTheme="minorEastAsia" w:hAnsiTheme="minorEastAsia" w:cstheme="minorEastAsia"/>
                <w:color w:val="auto"/>
                <w:szCs w:val="21"/>
                <w:highlight w:val="none"/>
                <w:lang w:val="en-US" w:eastAsia="zh-CN"/>
              </w:rPr>
              <w:t>5</w:t>
            </w:r>
            <w:r>
              <w:rPr>
                <w:rFonts w:hint="eastAsia" w:asciiTheme="minorEastAsia" w:hAnsiTheme="minorEastAsia" w:cstheme="minorEastAsia"/>
                <w:color w:val="auto"/>
                <w:szCs w:val="21"/>
                <w:highlight w:val="none"/>
              </w:rPr>
              <w:t>篇</w:t>
            </w:r>
            <w:r>
              <w:rPr>
                <w:rFonts w:hint="eastAsia" w:asciiTheme="minorEastAsia" w:hAnsiTheme="minorEastAsia" w:cstheme="minorEastAsia"/>
                <w:color w:val="auto"/>
                <w:szCs w:val="21"/>
                <w:highlight w:val="none"/>
                <w:lang w:eastAsia="zh-CN"/>
              </w:rPr>
              <w:t>）</w:t>
            </w:r>
            <w:r>
              <w:rPr>
                <w:rFonts w:hint="eastAsia" w:asciiTheme="minorEastAsia" w:hAnsiTheme="minorEastAsia" w:cstheme="minorEastAsia"/>
                <w:color w:val="auto"/>
                <w:szCs w:val="21"/>
                <w:highlight w:val="none"/>
              </w:rPr>
              <w:t>。</w:t>
            </w:r>
          </w:p>
        </w:tc>
        <w:tc>
          <w:tcPr>
            <w:tcW w:w="2582" w:type="dxa"/>
            <w:vAlign w:val="top"/>
          </w:tcPr>
          <w:p>
            <w:pPr>
              <w:adjustRightInd w:val="0"/>
              <w:snapToGrid w:val="0"/>
              <w:rPr>
                <w:rFonts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培育教育博士点，形成2个有特色的研究方向。教育硕士优秀案例1-2个。联合培养博士单位1个，新增博士生导师资格2人。增加3-5个教育硕士研究生实践基地。硕士研究生省级以上学科竞赛获奖3-5个。2021级国内研究生毕业率达到95%以上。研究生毕业论文抽检合格率达到100%。省优硕士学位论文1</w:t>
            </w:r>
            <w:r>
              <w:rPr>
                <w:rFonts w:hint="eastAsia" w:asciiTheme="minorEastAsia" w:hAnsiTheme="minorEastAsia" w:cstheme="minorEastAsia"/>
                <w:color w:val="auto"/>
                <w:szCs w:val="21"/>
                <w:highlight w:val="none"/>
                <w:lang w:val="en-US" w:eastAsia="zh-CN"/>
              </w:rPr>
              <w:t>-2</w:t>
            </w:r>
            <w:r>
              <w:rPr>
                <w:rFonts w:hint="eastAsia" w:asciiTheme="minorEastAsia" w:hAnsiTheme="minorEastAsia" w:cstheme="minorEastAsia"/>
                <w:color w:val="auto"/>
                <w:szCs w:val="21"/>
                <w:highlight w:val="none"/>
              </w:rPr>
              <w:t>篇。研究生发表论文</w:t>
            </w:r>
            <w:r>
              <w:rPr>
                <w:rFonts w:hint="eastAsia" w:asciiTheme="minorEastAsia" w:hAnsiTheme="minorEastAsia" w:cstheme="minorEastAsia"/>
                <w:color w:val="auto"/>
                <w:szCs w:val="21"/>
                <w:highlight w:val="none"/>
                <w:lang w:val="en-US" w:eastAsia="zh-CN"/>
              </w:rPr>
              <w:t>90</w:t>
            </w:r>
            <w:r>
              <w:rPr>
                <w:rFonts w:hint="eastAsia" w:asciiTheme="minorEastAsia" w:hAnsiTheme="minorEastAsia" w:cstheme="minorEastAsia"/>
                <w:color w:val="auto"/>
                <w:szCs w:val="21"/>
                <w:highlight w:val="none"/>
              </w:rPr>
              <w:t>篇</w:t>
            </w:r>
            <w:r>
              <w:rPr>
                <w:rFonts w:hint="eastAsia" w:asciiTheme="minorEastAsia" w:hAnsiTheme="minorEastAsia" w:cstheme="minorEastAsia"/>
                <w:color w:val="auto"/>
                <w:szCs w:val="21"/>
                <w:highlight w:val="none"/>
                <w:lang w:eastAsia="zh-CN"/>
              </w:rPr>
              <w:t>（</w:t>
            </w:r>
            <w:r>
              <w:rPr>
                <w:rFonts w:hint="eastAsia" w:asciiTheme="minorEastAsia" w:hAnsiTheme="minorEastAsia" w:cstheme="minorEastAsia"/>
                <w:color w:val="auto"/>
                <w:szCs w:val="21"/>
                <w:highlight w:val="none"/>
              </w:rPr>
              <w:t>核心及以上</w:t>
            </w:r>
            <w:r>
              <w:rPr>
                <w:rFonts w:hint="eastAsia" w:asciiTheme="minorEastAsia" w:hAnsiTheme="minorEastAsia" w:cstheme="minorEastAsia"/>
                <w:color w:val="auto"/>
                <w:szCs w:val="21"/>
                <w:highlight w:val="none"/>
                <w:lang w:val="en-US" w:eastAsia="zh-CN"/>
              </w:rPr>
              <w:t>18</w:t>
            </w:r>
            <w:r>
              <w:rPr>
                <w:rFonts w:hint="eastAsia" w:asciiTheme="minorEastAsia" w:hAnsiTheme="minorEastAsia" w:cstheme="minorEastAsia"/>
                <w:color w:val="auto"/>
                <w:szCs w:val="21"/>
                <w:highlight w:val="none"/>
              </w:rPr>
              <w:t>篇</w:t>
            </w:r>
            <w:r>
              <w:rPr>
                <w:rFonts w:hint="eastAsia" w:asciiTheme="minorEastAsia" w:hAnsiTheme="minorEastAsia" w:cstheme="minorEastAsia"/>
                <w:color w:val="auto"/>
                <w:szCs w:val="21"/>
                <w:highlight w:val="none"/>
                <w:lang w:eastAsia="zh-CN"/>
              </w:rPr>
              <w:t>）</w:t>
            </w:r>
            <w:r>
              <w:rPr>
                <w:rFonts w:hint="eastAsia" w:asciiTheme="minorEastAsia" w:hAnsiTheme="minorEastAsia" w:cstheme="minorEastAsia"/>
                <w:color w:val="auto"/>
                <w:szCs w:val="21"/>
                <w:highlight w:val="none"/>
              </w:rPr>
              <w:t>。</w:t>
            </w:r>
          </w:p>
        </w:tc>
        <w:tc>
          <w:tcPr>
            <w:tcW w:w="3100" w:type="dxa"/>
            <w:vAlign w:val="top"/>
          </w:tcPr>
          <w:p>
            <w:pPr>
              <w:adjustRightInd w:val="0"/>
              <w:snapToGrid w:val="0"/>
              <w:rPr>
                <w:rFonts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新增博士生导师资格3人，形成5-6个特色显明的研究方向，7-9人具有博士生导师资格，达到教育博士点授权审核条件。教育学和教育硕士点的建设成效明显。教育硕士优秀案例2个。增加3-5个教育硕士研究生实践基地。硕士研究生省级以上学科竞赛获奖3-5个。2022级国内研究生毕业率达到95%以上。研究生毕业论文抽检合格率达到100%。省优硕士学位论文1</w:t>
            </w:r>
            <w:r>
              <w:rPr>
                <w:rFonts w:hint="eastAsia" w:asciiTheme="minorEastAsia" w:hAnsiTheme="minorEastAsia" w:cstheme="minorEastAsia"/>
                <w:color w:val="auto"/>
                <w:szCs w:val="21"/>
                <w:highlight w:val="none"/>
                <w:lang w:val="en-US" w:eastAsia="zh-CN"/>
              </w:rPr>
              <w:t>-2</w:t>
            </w:r>
            <w:r>
              <w:rPr>
                <w:rFonts w:hint="eastAsia" w:asciiTheme="minorEastAsia" w:hAnsiTheme="minorEastAsia" w:cstheme="minorEastAsia"/>
                <w:color w:val="auto"/>
                <w:szCs w:val="21"/>
                <w:highlight w:val="none"/>
              </w:rPr>
              <w:t>篇。研究生发表论文</w:t>
            </w:r>
            <w:r>
              <w:rPr>
                <w:rFonts w:hint="eastAsia" w:asciiTheme="minorEastAsia" w:hAnsiTheme="minorEastAsia" w:cstheme="minorEastAsia"/>
                <w:color w:val="auto"/>
                <w:szCs w:val="21"/>
                <w:highlight w:val="none"/>
                <w:lang w:val="en-US" w:eastAsia="zh-CN"/>
              </w:rPr>
              <w:t>100</w:t>
            </w:r>
            <w:r>
              <w:rPr>
                <w:rFonts w:hint="eastAsia" w:asciiTheme="minorEastAsia" w:hAnsiTheme="minorEastAsia" w:cstheme="minorEastAsia"/>
                <w:color w:val="auto"/>
                <w:szCs w:val="21"/>
                <w:highlight w:val="none"/>
              </w:rPr>
              <w:t>篇</w:t>
            </w:r>
            <w:r>
              <w:rPr>
                <w:rFonts w:hint="eastAsia" w:asciiTheme="minorEastAsia" w:hAnsiTheme="minorEastAsia" w:cstheme="minorEastAsia"/>
                <w:color w:val="auto"/>
                <w:szCs w:val="21"/>
                <w:highlight w:val="none"/>
                <w:lang w:eastAsia="zh-CN"/>
              </w:rPr>
              <w:t>（</w:t>
            </w:r>
            <w:r>
              <w:rPr>
                <w:rFonts w:hint="eastAsia" w:asciiTheme="minorEastAsia" w:hAnsiTheme="minorEastAsia" w:cstheme="minorEastAsia"/>
                <w:color w:val="auto"/>
                <w:szCs w:val="21"/>
                <w:highlight w:val="none"/>
              </w:rPr>
              <w:t>核心及以上</w:t>
            </w:r>
            <w:r>
              <w:rPr>
                <w:rFonts w:hint="eastAsia" w:asciiTheme="minorEastAsia" w:hAnsiTheme="minorEastAsia" w:cstheme="minorEastAsia"/>
                <w:color w:val="auto"/>
                <w:szCs w:val="21"/>
                <w:highlight w:val="none"/>
                <w:lang w:val="en-US" w:eastAsia="zh-CN"/>
              </w:rPr>
              <w:t>22</w:t>
            </w:r>
            <w:r>
              <w:rPr>
                <w:rFonts w:hint="eastAsia" w:asciiTheme="minorEastAsia" w:hAnsiTheme="minorEastAsia" w:cstheme="minorEastAsia"/>
                <w:color w:val="auto"/>
                <w:szCs w:val="21"/>
                <w:highlight w:val="none"/>
              </w:rPr>
              <w:t>篇</w:t>
            </w:r>
            <w:r>
              <w:rPr>
                <w:rFonts w:hint="eastAsia" w:asciiTheme="minorEastAsia" w:hAnsiTheme="minorEastAsia" w:cstheme="minorEastAsia"/>
                <w:color w:val="auto"/>
                <w:szCs w:val="21"/>
                <w:highlight w:val="none"/>
                <w:lang w:eastAsia="zh-CN"/>
              </w:rPr>
              <w:t>）</w:t>
            </w:r>
            <w:r>
              <w:rPr>
                <w:rFonts w:hint="eastAsia" w:asciiTheme="minorEastAsia" w:hAnsiTheme="minorEastAsia" w:cs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6" w:type="dxa"/>
            <w:gridSpan w:val="2"/>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牵头负责人</w:t>
            </w:r>
          </w:p>
        </w:tc>
        <w:tc>
          <w:tcPr>
            <w:tcW w:w="2510"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刘世清/任强</w:t>
            </w:r>
          </w:p>
        </w:tc>
        <w:tc>
          <w:tcPr>
            <w:tcW w:w="2593"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刘世清/任强</w:t>
            </w:r>
          </w:p>
        </w:tc>
        <w:tc>
          <w:tcPr>
            <w:tcW w:w="2695"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刘世清/任强</w:t>
            </w:r>
          </w:p>
        </w:tc>
        <w:tc>
          <w:tcPr>
            <w:tcW w:w="2582"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刘世清/任强</w:t>
            </w:r>
          </w:p>
        </w:tc>
        <w:tc>
          <w:tcPr>
            <w:tcW w:w="3100"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刘世清/任强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 w:type="dxa"/>
          </w:tcPr>
          <w:p>
            <w:pPr>
              <w:adjustRightInd w:val="0"/>
              <w:snapToGrid w:val="0"/>
              <w:spacing w:line="360" w:lineRule="auto"/>
              <w:rPr>
                <w:sz w:val="28"/>
                <w:szCs w:val="28"/>
              </w:rPr>
            </w:pPr>
            <w:r>
              <w:rPr>
                <w:rFonts w:hint="eastAsia"/>
                <w:sz w:val="28"/>
                <w:szCs w:val="28"/>
              </w:rPr>
              <w:t>3</w:t>
            </w:r>
          </w:p>
        </w:tc>
        <w:tc>
          <w:tcPr>
            <w:tcW w:w="876"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科研</w:t>
            </w:r>
          </w:p>
        </w:tc>
        <w:tc>
          <w:tcPr>
            <w:tcW w:w="2510"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国家</w:t>
            </w:r>
            <w:r>
              <w:rPr>
                <w:rFonts w:hint="eastAsia" w:asciiTheme="minorEastAsia" w:hAnsiTheme="minorEastAsia" w:cstheme="minorEastAsia"/>
                <w:color w:val="auto"/>
                <w:szCs w:val="21"/>
              </w:rPr>
              <w:t>级项目2项，省部级项目2项，权威和一级以上论文15篇，</w:t>
            </w:r>
            <w:r>
              <w:rPr>
                <w:rFonts w:hint="eastAsia" w:asciiTheme="minorEastAsia" w:hAnsiTheme="minorEastAsia" w:cstheme="minorEastAsia"/>
                <w:szCs w:val="21"/>
              </w:rPr>
              <w:t>专著4部。纵向科研经费</w:t>
            </w:r>
            <w:r>
              <w:rPr>
                <w:rFonts w:hint="eastAsia" w:asciiTheme="minorEastAsia" w:hAnsiTheme="minorEastAsia" w:cstheme="minorEastAsia"/>
                <w:szCs w:val="21"/>
                <w:lang w:val="en-US" w:eastAsia="zh-CN"/>
              </w:rPr>
              <w:t>55</w:t>
            </w:r>
            <w:r>
              <w:rPr>
                <w:rFonts w:hint="eastAsia" w:asciiTheme="minorEastAsia" w:hAnsiTheme="minorEastAsia" w:cstheme="minorEastAsia"/>
                <w:szCs w:val="21"/>
              </w:rPr>
              <w:t>万元。省级以上咨询报告2项。</w:t>
            </w:r>
          </w:p>
        </w:tc>
        <w:tc>
          <w:tcPr>
            <w:tcW w:w="2593"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国家级项目3项，省部级项目</w:t>
            </w:r>
            <w:r>
              <w:rPr>
                <w:rFonts w:hint="eastAsia" w:asciiTheme="minorEastAsia" w:hAnsiTheme="minorEastAsia" w:cstheme="minorEastAsia"/>
                <w:szCs w:val="21"/>
                <w:lang w:val="en-US" w:eastAsia="zh-CN"/>
              </w:rPr>
              <w:t>7</w:t>
            </w:r>
            <w:r>
              <w:rPr>
                <w:rFonts w:hint="eastAsia" w:asciiTheme="minorEastAsia" w:hAnsiTheme="minorEastAsia" w:cstheme="minorEastAsia"/>
                <w:szCs w:val="21"/>
              </w:rPr>
              <w:t>项，权威</w:t>
            </w:r>
            <w:r>
              <w:rPr>
                <w:rFonts w:hint="eastAsia" w:asciiTheme="minorEastAsia" w:hAnsiTheme="minorEastAsia" w:cstheme="minorEastAsia"/>
                <w:szCs w:val="21"/>
                <w:lang w:val="en-US" w:eastAsia="zh-CN"/>
              </w:rPr>
              <w:t>和</w:t>
            </w:r>
            <w:r>
              <w:rPr>
                <w:rFonts w:hint="eastAsia" w:asciiTheme="minorEastAsia" w:hAnsiTheme="minorEastAsia" w:cstheme="minorEastAsia"/>
                <w:szCs w:val="21"/>
              </w:rPr>
              <w:t>一级期刊以上论文</w:t>
            </w:r>
            <w:r>
              <w:rPr>
                <w:rFonts w:hint="eastAsia" w:asciiTheme="minorEastAsia" w:hAnsiTheme="minorEastAsia" w:cstheme="minorEastAsia"/>
                <w:szCs w:val="21"/>
                <w:lang w:val="en-US" w:eastAsia="zh-CN"/>
              </w:rPr>
              <w:t>2</w:t>
            </w:r>
            <w:r>
              <w:rPr>
                <w:rFonts w:hint="eastAsia" w:asciiTheme="minorEastAsia" w:hAnsiTheme="minorEastAsia" w:cstheme="minorEastAsia"/>
                <w:szCs w:val="21"/>
              </w:rPr>
              <w:t>0篇，专著4-5部。纵向科研经费</w:t>
            </w:r>
            <w:r>
              <w:rPr>
                <w:rFonts w:hint="eastAsia" w:asciiTheme="minorEastAsia" w:hAnsiTheme="minorEastAsia" w:cstheme="minorEastAsia"/>
                <w:szCs w:val="21"/>
                <w:lang w:val="en-US" w:eastAsia="zh-CN"/>
              </w:rPr>
              <w:t>10</w:t>
            </w:r>
            <w:r>
              <w:rPr>
                <w:rFonts w:hint="eastAsia" w:asciiTheme="minorEastAsia" w:hAnsiTheme="minorEastAsia" w:cstheme="minorEastAsia"/>
                <w:szCs w:val="21"/>
              </w:rPr>
              <w:t>0万元。省级以上咨询报告2项。举办国际会议1次。</w:t>
            </w:r>
          </w:p>
        </w:tc>
        <w:tc>
          <w:tcPr>
            <w:tcW w:w="2695"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国家级项目3项，省部级项目</w:t>
            </w:r>
            <w:r>
              <w:rPr>
                <w:rFonts w:hint="eastAsia" w:asciiTheme="minorEastAsia" w:hAnsiTheme="minorEastAsia" w:cstheme="minorEastAsia"/>
                <w:szCs w:val="21"/>
                <w:lang w:val="en-US" w:eastAsia="zh-CN"/>
              </w:rPr>
              <w:t>9</w:t>
            </w:r>
            <w:r>
              <w:rPr>
                <w:rFonts w:hint="eastAsia" w:asciiTheme="minorEastAsia" w:hAnsiTheme="minorEastAsia" w:cstheme="minorEastAsia"/>
                <w:szCs w:val="21"/>
              </w:rPr>
              <w:t>项，权威和一级以上论文2</w:t>
            </w:r>
            <w:r>
              <w:rPr>
                <w:rFonts w:hint="eastAsia" w:asciiTheme="minorEastAsia" w:hAnsiTheme="minorEastAsia" w:cstheme="minorEastAsia"/>
                <w:szCs w:val="21"/>
                <w:lang w:val="en-US" w:eastAsia="zh-CN"/>
              </w:rPr>
              <w:t>2</w:t>
            </w:r>
            <w:r>
              <w:rPr>
                <w:rFonts w:hint="eastAsia" w:asciiTheme="minorEastAsia" w:hAnsiTheme="minorEastAsia" w:cstheme="minorEastAsia"/>
                <w:szCs w:val="21"/>
              </w:rPr>
              <w:t>篇，专著4-5部，省级及以上科研成果奖2项。纵向科研经费</w:t>
            </w:r>
            <w:r>
              <w:rPr>
                <w:rFonts w:hint="eastAsia" w:asciiTheme="minorEastAsia" w:hAnsiTheme="minorEastAsia" w:cstheme="minorEastAsia"/>
                <w:szCs w:val="21"/>
                <w:lang w:val="en-US" w:eastAsia="zh-CN"/>
              </w:rPr>
              <w:t>10</w:t>
            </w:r>
            <w:r>
              <w:rPr>
                <w:rFonts w:hint="eastAsia" w:asciiTheme="minorEastAsia" w:hAnsiTheme="minorEastAsia" w:cstheme="minorEastAsia"/>
                <w:szCs w:val="21"/>
              </w:rPr>
              <w:t>0万元。省级以上咨询报告2项。</w:t>
            </w:r>
          </w:p>
        </w:tc>
        <w:tc>
          <w:tcPr>
            <w:tcW w:w="2582"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国家级项目3项，省部级项目10项，权威和一级以上论文2</w:t>
            </w:r>
            <w:r>
              <w:rPr>
                <w:rFonts w:hint="eastAsia" w:asciiTheme="minorEastAsia" w:hAnsiTheme="minorEastAsia" w:cstheme="minorEastAsia"/>
                <w:szCs w:val="21"/>
                <w:lang w:val="en-US" w:eastAsia="zh-CN"/>
              </w:rPr>
              <w:t>5</w:t>
            </w:r>
            <w:r>
              <w:rPr>
                <w:rFonts w:hint="eastAsia" w:asciiTheme="minorEastAsia" w:hAnsiTheme="minorEastAsia" w:cstheme="minorEastAsia"/>
                <w:szCs w:val="21"/>
              </w:rPr>
              <w:t>篇，专著4-5部。纵向科研经费100万元。省级以上咨询报告2项。</w:t>
            </w:r>
          </w:p>
        </w:tc>
        <w:tc>
          <w:tcPr>
            <w:tcW w:w="3100"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国家级重点项目1项，国家级项目3项，省部级项目12项，权威和一级以上论文2</w:t>
            </w:r>
            <w:r>
              <w:rPr>
                <w:rFonts w:hint="eastAsia" w:asciiTheme="minorEastAsia" w:hAnsiTheme="minorEastAsia" w:cstheme="minorEastAsia"/>
                <w:szCs w:val="21"/>
                <w:lang w:val="en-US" w:eastAsia="zh-CN"/>
              </w:rPr>
              <w:t>8</w:t>
            </w:r>
            <w:r>
              <w:rPr>
                <w:rFonts w:hint="eastAsia" w:asciiTheme="minorEastAsia" w:hAnsiTheme="minorEastAsia" w:cstheme="minorEastAsia"/>
                <w:szCs w:val="21"/>
              </w:rPr>
              <w:t>篇，专著4-5部，省级及以上科研成果奖2-3项。纵向科研经费1</w:t>
            </w:r>
            <w:r>
              <w:rPr>
                <w:rFonts w:hint="eastAsia" w:asciiTheme="minorEastAsia" w:hAnsiTheme="minorEastAsia" w:cstheme="minorEastAsia"/>
                <w:szCs w:val="21"/>
                <w:lang w:val="en-US" w:eastAsia="zh-CN"/>
              </w:rPr>
              <w:t>2</w:t>
            </w:r>
            <w:r>
              <w:rPr>
                <w:rFonts w:hint="eastAsia" w:asciiTheme="minorEastAsia" w:hAnsiTheme="minorEastAsia" w:cstheme="minorEastAsia"/>
                <w:szCs w:val="21"/>
              </w:rPr>
              <w:t>0万元。省级以上咨询报告2项。智库/基地等学科平台1个。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6" w:type="dxa"/>
            <w:gridSpan w:val="2"/>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牵头负责人</w:t>
            </w:r>
          </w:p>
        </w:tc>
        <w:tc>
          <w:tcPr>
            <w:tcW w:w="2510"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任强</w:t>
            </w:r>
          </w:p>
        </w:tc>
        <w:tc>
          <w:tcPr>
            <w:tcW w:w="2593"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任强</w:t>
            </w:r>
          </w:p>
        </w:tc>
        <w:tc>
          <w:tcPr>
            <w:tcW w:w="2695"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任强</w:t>
            </w:r>
          </w:p>
        </w:tc>
        <w:tc>
          <w:tcPr>
            <w:tcW w:w="2582"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任强</w:t>
            </w:r>
          </w:p>
        </w:tc>
        <w:tc>
          <w:tcPr>
            <w:tcW w:w="3100"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任强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 w:type="dxa"/>
          </w:tcPr>
          <w:p>
            <w:pPr>
              <w:adjustRightInd w:val="0"/>
              <w:snapToGrid w:val="0"/>
              <w:spacing w:line="360" w:lineRule="auto"/>
              <w:rPr>
                <w:sz w:val="28"/>
                <w:szCs w:val="28"/>
              </w:rPr>
            </w:pPr>
            <w:r>
              <w:rPr>
                <w:rFonts w:hint="eastAsia"/>
                <w:sz w:val="28"/>
                <w:szCs w:val="28"/>
              </w:rPr>
              <w:t>4</w:t>
            </w:r>
          </w:p>
        </w:tc>
        <w:tc>
          <w:tcPr>
            <w:tcW w:w="876"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专业建设</w:t>
            </w:r>
          </w:p>
        </w:tc>
        <w:tc>
          <w:tcPr>
            <w:tcW w:w="2510" w:type="dxa"/>
          </w:tcPr>
          <w:p>
            <w:pPr>
              <w:adjustRightInd w:val="0"/>
              <w:snapToGrid w:val="0"/>
              <w:rPr>
                <w:rFonts w:asciiTheme="minorEastAsia" w:hAnsiTheme="minorEastAsia" w:cstheme="minorEastAsia"/>
                <w:color w:val="auto"/>
                <w:szCs w:val="21"/>
              </w:rPr>
            </w:pPr>
            <w:r>
              <w:rPr>
                <w:rFonts w:hint="eastAsia" w:asciiTheme="minorEastAsia" w:hAnsiTheme="minorEastAsia" w:cstheme="minorEastAsia"/>
                <w:color w:val="auto"/>
                <w:szCs w:val="21"/>
              </w:rPr>
              <w:t>培育省级以上优秀教材1部，专业特色教材2部，省级教学改革项目2项，国家级和省级一流本科课程</w:t>
            </w:r>
            <w:r>
              <w:rPr>
                <w:rFonts w:asciiTheme="minorEastAsia" w:hAnsiTheme="minorEastAsia" w:cstheme="minorEastAsia"/>
                <w:color w:val="auto"/>
                <w:szCs w:val="21"/>
              </w:rPr>
              <w:t>6</w:t>
            </w:r>
            <w:r>
              <w:rPr>
                <w:rFonts w:hint="eastAsia" w:asciiTheme="minorEastAsia" w:hAnsiTheme="minorEastAsia" w:cstheme="minorEastAsia"/>
                <w:color w:val="auto"/>
                <w:szCs w:val="21"/>
              </w:rPr>
              <w:t>门，省部级教学成果奖2项。</w:t>
            </w:r>
          </w:p>
        </w:tc>
        <w:tc>
          <w:tcPr>
            <w:tcW w:w="2593" w:type="dxa"/>
          </w:tcPr>
          <w:p>
            <w:pPr>
              <w:adjustRightInd w:val="0"/>
              <w:snapToGrid w:val="0"/>
              <w:rPr>
                <w:rFonts w:asciiTheme="minorEastAsia" w:hAnsiTheme="minorEastAsia" w:cstheme="minorEastAsia"/>
                <w:color w:val="auto"/>
                <w:szCs w:val="21"/>
              </w:rPr>
            </w:pPr>
            <w:r>
              <w:rPr>
                <w:rFonts w:hint="eastAsia" w:asciiTheme="minorEastAsia" w:hAnsiTheme="minorEastAsia" w:cstheme="minorEastAsia"/>
                <w:color w:val="auto"/>
                <w:szCs w:val="21"/>
              </w:rPr>
              <w:t>国家级教学成果奖1项，国家级一流本科专业1个。培育省级以上优秀教材1-</w:t>
            </w:r>
            <w:r>
              <w:rPr>
                <w:rFonts w:asciiTheme="minorEastAsia" w:hAnsiTheme="minorEastAsia" w:cstheme="minorEastAsia"/>
                <w:color w:val="auto"/>
                <w:szCs w:val="21"/>
              </w:rPr>
              <w:t>2</w:t>
            </w:r>
            <w:r>
              <w:rPr>
                <w:rFonts w:hint="eastAsia" w:asciiTheme="minorEastAsia" w:hAnsiTheme="minorEastAsia" w:cstheme="minorEastAsia"/>
                <w:color w:val="auto"/>
                <w:szCs w:val="21"/>
              </w:rPr>
              <w:t>部,专业特色教材</w:t>
            </w:r>
            <w:r>
              <w:rPr>
                <w:rFonts w:asciiTheme="minorEastAsia" w:hAnsiTheme="minorEastAsia" w:cstheme="minorEastAsia"/>
                <w:color w:val="auto"/>
                <w:szCs w:val="21"/>
              </w:rPr>
              <w:t>2</w:t>
            </w:r>
            <w:r>
              <w:rPr>
                <w:rFonts w:hint="eastAsia" w:asciiTheme="minorEastAsia" w:hAnsiTheme="minorEastAsia" w:cstheme="minorEastAsia"/>
                <w:color w:val="auto"/>
                <w:szCs w:val="21"/>
              </w:rPr>
              <w:t>-</w:t>
            </w:r>
            <w:r>
              <w:rPr>
                <w:rFonts w:asciiTheme="minorEastAsia" w:hAnsiTheme="minorEastAsia" w:cstheme="minorEastAsia"/>
                <w:color w:val="auto"/>
                <w:szCs w:val="21"/>
              </w:rPr>
              <w:t>3</w:t>
            </w:r>
            <w:r>
              <w:rPr>
                <w:rFonts w:hint="eastAsia" w:asciiTheme="minorEastAsia" w:hAnsiTheme="minorEastAsia" w:cstheme="minorEastAsia"/>
                <w:color w:val="auto"/>
                <w:szCs w:val="21"/>
              </w:rPr>
              <w:t>部，国家级和省级教学改革项目2-3项，国家级和省级一流本科课程9门。</w:t>
            </w:r>
          </w:p>
        </w:tc>
        <w:tc>
          <w:tcPr>
            <w:tcW w:w="2695" w:type="dxa"/>
          </w:tcPr>
          <w:p>
            <w:pPr>
              <w:adjustRightInd w:val="0"/>
              <w:snapToGrid w:val="0"/>
              <w:rPr>
                <w:rFonts w:asciiTheme="minorEastAsia" w:hAnsiTheme="minorEastAsia" w:cstheme="minorEastAsia"/>
                <w:color w:val="auto"/>
                <w:szCs w:val="21"/>
              </w:rPr>
            </w:pPr>
            <w:r>
              <w:rPr>
                <w:rFonts w:hint="eastAsia" w:asciiTheme="minorEastAsia" w:hAnsiTheme="minorEastAsia" w:cstheme="minorEastAsia"/>
                <w:color w:val="auto"/>
                <w:szCs w:val="21"/>
              </w:rPr>
              <w:t>省级以上优秀教材1部，专业特色教材2-3部，国家级和省级教学改革项目3-4项，国家级和省级一流本科课程</w:t>
            </w:r>
            <w:r>
              <w:rPr>
                <w:rFonts w:asciiTheme="minorEastAsia" w:hAnsiTheme="minorEastAsia" w:cstheme="minorEastAsia"/>
                <w:color w:val="auto"/>
                <w:szCs w:val="21"/>
              </w:rPr>
              <w:t>8</w:t>
            </w:r>
            <w:r>
              <w:rPr>
                <w:rFonts w:hint="eastAsia" w:asciiTheme="minorEastAsia" w:hAnsiTheme="minorEastAsia" w:cstheme="minorEastAsia"/>
                <w:color w:val="auto"/>
                <w:szCs w:val="21"/>
              </w:rPr>
              <w:t>-</w:t>
            </w:r>
            <w:r>
              <w:rPr>
                <w:rFonts w:asciiTheme="minorEastAsia" w:hAnsiTheme="minorEastAsia" w:cstheme="minorEastAsia"/>
                <w:color w:val="auto"/>
                <w:szCs w:val="21"/>
              </w:rPr>
              <w:t>10</w:t>
            </w:r>
            <w:r>
              <w:rPr>
                <w:rFonts w:hint="eastAsia" w:asciiTheme="minorEastAsia" w:hAnsiTheme="minorEastAsia" w:cstheme="minorEastAsia"/>
                <w:color w:val="auto"/>
                <w:szCs w:val="21"/>
              </w:rPr>
              <w:t>门，国际交流</w:t>
            </w:r>
            <w:r>
              <w:rPr>
                <w:rFonts w:asciiTheme="minorEastAsia" w:hAnsiTheme="minorEastAsia" w:cstheme="minorEastAsia"/>
                <w:color w:val="auto"/>
                <w:szCs w:val="21"/>
              </w:rPr>
              <w:t>6</w:t>
            </w:r>
            <w:r>
              <w:rPr>
                <w:rFonts w:hint="eastAsia" w:asciiTheme="minorEastAsia" w:hAnsiTheme="minorEastAsia" w:cstheme="minorEastAsia"/>
                <w:color w:val="auto"/>
                <w:szCs w:val="21"/>
              </w:rPr>
              <w:t>-</w:t>
            </w:r>
            <w:r>
              <w:rPr>
                <w:rFonts w:asciiTheme="minorEastAsia" w:hAnsiTheme="minorEastAsia" w:cstheme="minorEastAsia"/>
                <w:color w:val="auto"/>
                <w:szCs w:val="21"/>
              </w:rPr>
              <w:t>8</w:t>
            </w:r>
            <w:r>
              <w:rPr>
                <w:rFonts w:hint="eastAsia" w:asciiTheme="minorEastAsia" w:hAnsiTheme="minorEastAsia" w:cstheme="minorEastAsia"/>
                <w:color w:val="auto"/>
                <w:szCs w:val="21"/>
              </w:rPr>
              <w:t>人。</w:t>
            </w:r>
          </w:p>
        </w:tc>
        <w:tc>
          <w:tcPr>
            <w:tcW w:w="2582" w:type="dxa"/>
          </w:tcPr>
          <w:p>
            <w:pPr>
              <w:adjustRightInd w:val="0"/>
              <w:snapToGrid w:val="0"/>
              <w:rPr>
                <w:rFonts w:asciiTheme="minorEastAsia" w:hAnsiTheme="minorEastAsia" w:cstheme="minorEastAsia"/>
                <w:color w:val="auto"/>
                <w:szCs w:val="21"/>
              </w:rPr>
            </w:pPr>
            <w:r>
              <w:rPr>
                <w:rFonts w:hint="eastAsia" w:asciiTheme="minorEastAsia" w:hAnsiTheme="minorEastAsia" w:cstheme="minorEastAsia"/>
                <w:color w:val="auto"/>
                <w:szCs w:val="21"/>
              </w:rPr>
              <w:t>省级以上优秀教材1-</w:t>
            </w:r>
            <w:r>
              <w:rPr>
                <w:rFonts w:asciiTheme="minorEastAsia" w:hAnsiTheme="minorEastAsia" w:cstheme="minorEastAsia"/>
                <w:color w:val="auto"/>
                <w:szCs w:val="21"/>
              </w:rPr>
              <w:t>2</w:t>
            </w:r>
            <w:r>
              <w:rPr>
                <w:rFonts w:hint="eastAsia" w:asciiTheme="minorEastAsia" w:hAnsiTheme="minorEastAsia" w:cstheme="minorEastAsia"/>
                <w:color w:val="auto"/>
                <w:szCs w:val="21"/>
              </w:rPr>
              <w:t>部，专业特色教材</w:t>
            </w:r>
            <w:r>
              <w:rPr>
                <w:rFonts w:asciiTheme="minorEastAsia" w:hAnsiTheme="minorEastAsia" w:cstheme="minorEastAsia"/>
                <w:color w:val="auto"/>
                <w:szCs w:val="21"/>
              </w:rPr>
              <w:t>3</w:t>
            </w:r>
            <w:r>
              <w:rPr>
                <w:rFonts w:hint="eastAsia" w:asciiTheme="minorEastAsia" w:hAnsiTheme="minorEastAsia" w:cstheme="minorEastAsia"/>
                <w:color w:val="auto"/>
                <w:szCs w:val="21"/>
              </w:rPr>
              <w:t>-</w:t>
            </w:r>
            <w:r>
              <w:rPr>
                <w:rFonts w:asciiTheme="minorEastAsia" w:hAnsiTheme="minorEastAsia" w:cstheme="minorEastAsia"/>
                <w:color w:val="auto"/>
                <w:szCs w:val="21"/>
              </w:rPr>
              <w:t>4</w:t>
            </w:r>
            <w:r>
              <w:rPr>
                <w:rFonts w:hint="eastAsia" w:asciiTheme="minorEastAsia" w:hAnsiTheme="minorEastAsia" w:cstheme="minorEastAsia"/>
                <w:color w:val="auto"/>
                <w:szCs w:val="21"/>
              </w:rPr>
              <w:t>部，国家级和省级教学改革项目3-4项，国家级和省级一流本科课程</w:t>
            </w:r>
            <w:r>
              <w:rPr>
                <w:rFonts w:asciiTheme="minorEastAsia" w:hAnsiTheme="minorEastAsia" w:cstheme="minorEastAsia"/>
                <w:color w:val="auto"/>
                <w:szCs w:val="21"/>
              </w:rPr>
              <w:t>8</w:t>
            </w:r>
            <w:r>
              <w:rPr>
                <w:rFonts w:hint="eastAsia" w:asciiTheme="minorEastAsia" w:hAnsiTheme="minorEastAsia" w:cstheme="minorEastAsia"/>
                <w:color w:val="auto"/>
                <w:szCs w:val="21"/>
              </w:rPr>
              <w:t>-</w:t>
            </w:r>
            <w:r>
              <w:rPr>
                <w:rFonts w:asciiTheme="minorEastAsia" w:hAnsiTheme="minorEastAsia" w:cstheme="minorEastAsia"/>
                <w:color w:val="auto"/>
                <w:szCs w:val="21"/>
              </w:rPr>
              <w:t>10</w:t>
            </w:r>
            <w:r>
              <w:rPr>
                <w:rFonts w:hint="eastAsia" w:asciiTheme="minorEastAsia" w:hAnsiTheme="minorEastAsia" w:cstheme="minorEastAsia"/>
                <w:color w:val="auto"/>
                <w:szCs w:val="21"/>
              </w:rPr>
              <w:t>门，国际交流8-10人。</w:t>
            </w:r>
          </w:p>
        </w:tc>
        <w:tc>
          <w:tcPr>
            <w:tcW w:w="3100" w:type="dxa"/>
          </w:tcPr>
          <w:p>
            <w:pPr>
              <w:adjustRightInd w:val="0"/>
              <w:snapToGrid w:val="0"/>
              <w:rPr>
                <w:rFonts w:asciiTheme="minorEastAsia" w:hAnsiTheme="minorEastAsia" w:cstheme="minorEastAsia"/>
                <w:color w:val="auto"/>
                <w:szCs w:val="21"/>
              </w:rPr>
            </w:pPr>
            <w:r>
              <w:rPr>
                <w:rFonts w:hint="eastAsia" w:asciiTheme="minorEastAsia" w:hAnsiTheme="minorEastAsia" w:cstheme="minorEastAsia"/>
                <w:color w:val="auto"/>
                <w:szCs w:val="21"/>
              </w:rPr>
              <w:t>省级以上优秀教材</w:t>
            </w:r>
            <w:r>
              <w:rPr>
                <w:rFonts w:asciiTheme="minorEastAsia" w:hAnsiTheme="minorEastAsia" w:cstheme="minorEastAsia"/>
                <w:color w:val="auto"/>
                <w:szCs w:val="21"/>
              </w:rPr>
              <w:t>2</w:t>
            </w:r>
            <w:r>
              <w:rPr>
                <w:rFonts w:hint="eastAsia" w:asciiTheme="minorEastAsia" w:hAnsiTheme="minorEastAsia" w:cstheme="minorEastAsia"/>
                <w:color w:val="auto"/>
                <w:szCs w:val="21"/>
              </w:rPr>
              <w:t>部，专业特色教材</w:t>
            </w:r>
            <w:r>
              <w:rPr>
                <w:rFonts w:asciiTheme="minorEastAsia" w:hAnsiTheme="minorEastAsia" w:cstheme="minorEastAsia"/>
                <w:color w:val="auto"/>
                <w:szCs w:val="21"/>
              </w:rPr>
              <w:t>4</w:t>
            </w:r>
            <w:r>
              <w:rPr>
                <w:rFonts w:hint="eastAsia" w:asciiTheme="minorEastAsia" w:hAnsiTheme="minorEastAsia" w:cstheme="minorEastAsia"/>
                <w:color w:val="auto"/>
                <w:szCs w:val="21"/>
              </w:rPr>
              <w:t>部，国家级和省级教学改革项目4项，国家和省级一流本科课程</w:t>
            </w:r>
            <w:r>
              <w:rPr>
                <w:rFonts w:asciiTheme="minorEastAsia" w:hAnsiTheme="minorEastAsia" w:cstheme="minorEastAsia"/>
                <w:color w:val="auto"/>
                <w:szCs w:val="21"/>
              </w:rPr>
              <w:t>10</w:t>
            </w:r>
            <w:r>
              <w:rPr>
                <w:rFonts w:hint="eastAsia" w:asciiTheme="minorEastAsia" w:hAnsiTheme="minorEastAsia" w:cstheme="minorEastAsia"/>
                <w:color w:val="auto"/>
                <w:szCs w:val="21"/>
              </w:rPr>
              <w:t>门，省部级及以上教学成果奖1-2项，国际交流8-10人。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6" w:type="dxa"/>
            <w:gridSpan w:val="2"/>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牵头负责人</w:t>
            </w:r>
          </w:p>
        </w:tc>
        <w:tc>
          <w:tcPr>
            <w:tcW w:w="2510"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李茂森</w:t>
            </w:r>
          </w:p>
        </w:tc>
        <w:tc>
          <w:tcPr>
            <w:tcW w:w="2593"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李茂森</w:t>
            </w:r>
          </w:p>
        </w:tc>
        <w:tc>
          <w:tcPr>
            <w:tcW w:w="2695"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李茂森</w:t>
            </w:r>
          </w:p>
        </w:tc>
        <w:tc>
          <w:tcPr>
            <w:tcW w:w="2582"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李茂森</w:t>
            </w:r>
          </w:p>
        </w:tc>
        <w:tc>
          <w:tcPr>
            <w:tcW w:w="3100"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李茂森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 w:type="dxa"/>
          </w:tcPr>
          <w:p>
            <w:pPr>
              <w:adjustRightInd w:val="0"/>
              <w:snapToGrid w:val="0"/>
              <w:spacing w:line="360" w:lineRule="auto"/>
              <w:rPr>
                <w:sz w:val="28"/>
                <w:szCs w:val="28"/>
              </w:rPr>
            </w:pPr>
            <w:r>
              <w:rPr>
                <w:rFonts w:hint="eastAsia"/>
                <w:sz w:val="28"/>
                <w:szCs w:val="28"/>
              </w:rPr>
              <w:t>5</w:t>
            </w:r>
          </w:p>
        </w:tc>
        <w:tc>
          <w:tcPr>
            <w:tcW w:w="876"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实验室建设</w:t>
            </w:r>
          </w:p>
        </w:tc>
        <w:tc>
          <w:tcPr>
            <w:tcW w:w="2510"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市重点实验室1项，专业实验室</w:t>
            </w:r>
            <w:r>
              <w:rPr>
                <w:rFonts w:hint="eastAsia" w:asciiTheme="minorEastAsia" w:hAnsiTheme="minorEastAsia" w:cstheme="minorEastAsia"/>
                <w:szCs w:val="21"/>
                <w:lang w:val="en-US" w:eastAsia="zh-CN"/>
              </w:rPr>
              <w:t>2</w:t>
            </w:r>
            <w:r>
              <w:rPr>
                <w:rFonts w:hint="eastAsia" w:asciiTheme="minorEastAsia" w:hAnsiTheme="minorEastAsia" w:cstheme="minorEastAsia"/>
                <w:szCs w:val="21"/>
              </w:rPr>
              <w:t>项。</w:t>
            </w:r>
          </w:p>
        </w:tc>
        <w:tc>
          <w:tcPr>
            <w:tcW w:w="2593"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实验中心空间调整，学科实验室1项。省级虚拟仿真实验教学项目</w:t>
            </w:r>
            <w:r>
              <w:rPr>
                <w:rFonts w:hint="eastAsia" w:asciiTheme="minorEastAsia" w:hAnsiTheme="minorEastAsia" w:cstheme="minorEastAsia"/>
                <w:szCs w:val="21"/>
                <w:lang w:val="en-US" w:eastAsia="zh-CN"/>
              </w:rPr>
              <w:t>2</w:t>
            </w:r>
            <w:r>
              <w:rPr>
                <w:rFonts w:hint="eastAsia" w:asciiTheme="minorEastAsia" w:hAnsiTheme="minorEastAsia" w:cstheme="minorEastAsia"/>
                <w:szCs w:val="21"/>
              </w:rPr>
              <w:t>个。</w:t>
            </w:r>
          </w:p>
        </w:tc>
        <w:tc>
          <w:tcPr>
            <w:tcW w:w="2695"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省级虚拟仿真实验教学项目1个。学科实验室1项</w:t>
            </w:r>
            <w:r>
              <w:rPr>
                <w:rFonts w:hint="eastAsia" w:asciiTheme="minorEastAsia" w:hAnsiTheme="minorEastAsia" w:cstheme="minorEastAsia"/>
                <w:szCs w:val="21"/>
                <w:lang w:eastAsia="zh-CN"/>
              </w:rPr>
              <w:t>，</w:t>
            </w:r>
            <w:r>
              <w:rPr>
                <w:rFonts w:hint="eastAsia" w:asciiTheme="minorEastAsia" w:hAnsiTheme="minorEastAsia" w:cstheme="minorEastAsia"/>
                <w:szCs w:val="21"/>
              </w:rPr>
              <w:t>市重点实验室验收合格。</w:t>
            </w:r>
          </w:p>
        </w:tc>
        <w:tc>
          <w:tcPr>
            <w:tcW w:w="2582"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特色实验室1项。省级虚拟仿真实验教学项目1个。</w:t>
            </w:r>
          </w:p>
        </w:tc>
        <w:tc>
          <w:tcPr>
            <w:tcW w:w="3100"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实验中心空间布局科学、规范。学科实验室1项</w:t>
            </w:r>
            <w:r>
              <w:rPr>
                <w:rFonts w:hint="eastAsia" w:asciiTheme="minorEastAsia" w:hAnsiTheme="minorEastAsia" w:cstheme="minorEastAsia"/>
                <w:szCs w:val="21"/>
                <w:lang w:eastAsia="zh-CN"/>
              </w:rPr>
              <w:t>，</w:t>
            </w:r>
            <w:r>
              <w:rPr>
                <w:rFonts w:hint="eastAsia" w:asciiTheme="minorEastAsia" w:hAnsiTheme="minorEastAsia" w:cstheme="minorEastAsia"/>
                <w:szCs w:val="21"/>
              </w:rPr>
              <w:t>省级虚拟仿真实验教学项目1个。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6" w:type="dxa"/>
            <w:gridSpan w:val="2"/>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牵头负责人</w:t>
            </w:r>
          </w:p>
        </w:tc>
        <w:tc>
          <w:tcPr>
            <w:tcW w:w="2510"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任强</w:t>
            </w:r>
          </w:p>
        </w:tc>
        <w:tc>
          <w:tcPr>
            <w:tcW w:w="2593"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任强</w:t>
            </w:r>
          </w:p>
        </w:tc>
        <w:tc>
          <w:tcPr>
            <w:tcW w:w="2695"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任强</w:t>
            </w:r>
          </w:p>
        </w:tc>
        <w:tc>
          <w:tcPr>
            <w:tcW w:w="2582"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任强</w:t>
            </w:r>
          </w:p>
        </w:tc>
        <w:tc>
          <w:tcPr>
            <w:tcW w:w="3100"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任强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 w:type="dxa"/>
          </w:tcPr>
          <w:p>
            <w:pPr>
              <w:adjustRightInd w:val="0"/>
              <w:snapToGrid w:val="0"/>
              <w:spacing w:line="360" w:lineRule="auto"/>
              <w:rPr>
                <w:sz w:val="28"/>
                <w:szCs w:val="28"/>
              </w:rPr>
            </w:pPr>
            <w:r>
              <w:rPr>
                <w:rFonts w:hint="eastAsia"/>
                <w:sz w:val="28"/>
                <w:szCs w:val="28"/>
              </w:rPr>
              <w:t>6</w:t>
            </w:r>
          </w:p>
        </w:tc>
        <w:tc>
          <w:tcPr>
            <w:tcW w:w="876"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服务地方</w:t>
            </w:r>
          </w:p>
        </w:tc>
        <w:tc>
          <w:tcPr>
            <w:tcW w:w="2510"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百万以上项目1项，50万元以上项目3项,服务地方到帐经费400万元。继续教育毛收入900万。</w:t>
            </w:r>
          </w:p>
        </w:tc>
        <w:tc>
          <w:tcPr>
            <w:tcW w:w="2593"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百万以上项目1项，50万元以上项目4项，服务地方到帐经费400万元。继续教育毛收入900万元。</w:t>
            </w:r>
          </w:p>
        </w:tc>
        <w:tc>
          <w:tcPr>
            <w:tcW w:w="2695"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百万以上项目2项，50万元以上项目4项，服务地方到帐经费450万元。继续教育毛收入950万元。</w:t>
            </w:r>
          </w:p>
        </w:tc>
        <w:tc>
          <w:tcPr>
            <w:tcW w:w="2582"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百万以上项目2项，50万元以上项目5项，到帐经费450万元。继续教育毛收入1000万元。</w:t>
            </w:r>
          </w:p>
        </w:tc>
        <w:tc>
          <w:tcPr>
            <w:tcW w:w="3100"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百万以上项目2项，50万元以上项目5项，服务地方到帐经费500万元。继续教育毛收入1000万元。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6" w:type="dxa"/>
            <w:gridSpan w:val="2"/>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牵头负责人</w:t>
            </w:r>
          </w:p>
        </w:tc>
        <w:tc>
          <w:tcPr>
            <w:tcW w:w="2510"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刘世清</w:t>
            </w:r>
            <w:r>
              <w:rPr>
                <w:rFonts w:hint="eastAsia" w:asciiTheme="minorEastAsia" w:hAnsiTheme="minorEastAsia" w:cstheme="minorEastAsia"/>
                <w:szCs w:val="21"/>
                <w:lang w:val="en-US" w:eastAsia="zh-CN"/>
              </w:rPr>
              <w:t>/何阅雄</w:t>
            </w:r>
          </w:p>
        </w:tc>
        <w:tc>
          <w:tcPr>
            <w:tcW w:w="2593"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刘世清</w:t>
            </w:r>
            <w:r>
              <w:rPr>
                <w:rFonts w:hint="eastAsia" w:asciiTheme="minorEastAsia" w:hAnsiTheme="minorEastAsia" w:cstheme="minorEastAsia"/>
                <w:szCs w:val="21"/>
                <w:lang w:val="en-US" w:eastAsia="zh-CN"/>
              </w:rPr>
              <w:t>/何阅雄</w:t>
            </w:r>
          </w:p>
        </w:tc>
        <w:tc>
          <w:tcPr>
            <w:tcW w:w="2695"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刘世清</w:t>
            </w:r>
            <w:r>
              <w:rPr>
                <w:rFonts w:hint="eastAsia" w:asciiTheme="minorEastAsia" w:hAnsiTheme="minorEastAsia" w:cstheme="minorEastAsia"/>
                <w:szCs w:val="21"/>
                <w:lang w:val="en-US" w:eastAsia="zh-CN"/>
              </w:rPr>
              <w:t>/何阅雄</w:t>
            </w:r>
          </w:p>
        </w:tc>
        <w:tc>
          <w:tcPr>
            <w:tcW w:w="2582"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刘世清</w:t>
            </w:r>
            <w:r>
              <w:rPr>
                <w:rFonts w:hint="eastAsia" w:asciiTheme="minorEastAsia" w:hAnsiTheme="minorEastAsia" w:cstheme="minorEastAsia"/>
                <w:szCs w:val="21"/>
                <w:lang w:val="en-US" w:eastAsia="zh-CN"/>
              </w:rPr>
              <w:t>/何阅雄</w:t>
            </w:r>
          </w:p>
        </w:tc>
        <w:tc>
          <w:tcPr>
            <w:tcW w:w="3100"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刘世清</w:t>
            </w:r>
            <w:r>
              <w:rPr>
                <w:rFonts w:hint="eastAsia" w:asciiTheme="minorEastAsia" w:hAnsiTheme="minorEastAsia" w:cstheme="minorEastAsia"/>
                <w:szCs w:val="21"/>
                <w:lang w:val="en-US" w:eastAsia="zh-CN"/>
              </w:rPr>
              <w:t>/何阅雄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 w:type="dxa"/>
          </w:tcPr>
          <w:p>
            <w:pPr>
              <w:adjustRightInd w:val="0"/>
              <w:snapToGrid w:val="0"/>
              <w:spacing w:line="360" w:lineRule="auto"/>
              <w:rPr>
                <w:sz w:val="28"/>
                <w:szCs w:val="28"/>
              </w:rPr>
            </w:pPr>
            <w:r>
              <w:rPr>
                <w:rFonts w:hint="eastAsia"/>
                <w:sz w:val="28"/>
                <w:szCs w:val="28"/>
              </w:rPr>
              <w:t>7</w:t>
            </w:r>
          </w:p>
        </w:tc>
        <w:tc>
          <w:tcPr>
            <w:tcW w:w="876" w:type="dxa"/>
          </w:tcPr>
          <w:p>
            <w:pPr>
              <w:adjustRightInd w:val="0"/>
              <w:snapToGrid w:val="0"/>
              <w:rPr>
                <w:rFonts w:asciiTheme="minorEastAsia" w:hAnsiTheme="minorEastAsia" w:cstheme="minorEastAsia"/>
                <w:szCs w:val="21"/>
              </w:rPr>
            </w:pPr>
            <w:r>
              <w:rPr>
                <w:rFonts w:asciiTheme="minorEastAsia" w:hAnsiTheme="minorEastAsia" w:cstheme="minorEastAsia"/>
                <w:szCs w:val="21"/>
              </w:rPr>
              <w:t>党建工作</w:t>
            </w:r>
          </w:p>
        </w:tc>
        <w:tc>
          <w:tcPr>
            <w:tcW w:w="2510" w:type="dxa"/>
            <w:vAlign w:val="top"/>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完成学院机构改革和内设中层换届。全面实施“红色领航”党建品牌工程，培育2-3个党建特色品牌，2-3个党建创新项目，</w:t>
            </w:r>
            <w:r>
              <w:rPr>
                <w:rFonts w:hint="eastAsia" w:asciiTheme="minorEastAsia" w:hAnsiTheme="minorEastAsia" w:cstheme="minorEastAsia"/>
                <w:szCs w:val="21"/>
              </w:rPr>
              <w:cr/>
            </w:r>
            <w:r>
              <w:rPr>
                <w:rFonts w:hint="eastAsia" w:asciiTheme="minorEastAsia" w:hAnsiTheme="minorEastAsia" w:cstheme="minorEastAsia"/>
                <w:szCs w:val="21"/>
              </w:rPr>
              <w:t>培育1-2个样板党支部，1-2个“双带头人”支部书记工作室</w:t>
            </w:r>
            <w:r>
              <w:rPr>
                <w:rFonts w:hint="eastAsia" w:asciiTheme="minorEastAsia" w:hAnsiTheme="minorEastAsia" w:cstheme="minorEastAsia"/>
                <w:szCs w:val="21"/>
                <w:lang w:eastAsia="zh-CN"/>
              </w:rPr>
              <w:t>。</w:t>
            </w:r>
            <w:r>
              <w:rPr>
                <w:rFonts w:hint="eastAsia" w:asciiTheme="minorEastAsia" w:hAnsiTheme="minorEastAsia" w:cstheme="minorEastAsia"/>
                <w:szCs w:val="21"/>
              </w:rPr>
              <w:t>建成1个省级先进基层党组织，建设10个党支部共建单位，</w:t>
            </w:r>
            <w:r>
              <w:rPr>
                <w:rFonts w:hint="eastAsia" w:asciiTheme="minorEastAsia" w:hAnsiTheme="minorEastAsia" w:cstheme="minorEastAsia"/>
                <w:szCs w:val="21"/>
                <w:lang w:val="en-US" w:eastAsia="zh-CN"/>
              </w:rPr>
              <w:t>入选全省党建标杆院系，入选全省样板支部1个，入选学校“十大有影响力”党建特色品牌1项，</w:t>
            </w:r>
            <w:r>
              <w:rPr>
                <w:rFonts w:hint="eastAsia" w:asciiTheme="minorEastAsia" w:hAnsiTheme="minorEastAsia" w:cstheme="minorEastAsia"/>
                <w:szCs w:val="21"/>
              </w:rPr>
              <w:t>发展教师党员1名。</w:t>
            </w:r>
          </w:p>
        </w:tc>
        <w:tc>
          <w:tcPr>
            <w:tcW w:w="2593" w:type="dxa"/>
            <w:vAlign w:val="top"/>
          </w:tcPr>
          <w:p>
            <w:pPr>
              <w:adjustRightInd w:val="0"/>
              <w:snapToGrid w:val="0"/>
              <w:rPr>
                <w:rFonts w:asciiTheme="minorEastAsia" w:hAnsiTheme="minorEastAsia" w:cstheme="minorEastAsia"/>
                <w:szCs w:val="21"/>
              </w:rPr>
            </w:pPr>
            <w:r>
              <w:rPr>
                <w:rFonts w:hint="eastAsia" w:asciiTheme="minorEastAsia" w:hAnsiTheme="minorEastAsia" w:cstheme="minorEastAsia"/>
                <w:szCs w:val="21"/>
                <w:lang w:val="en-US" w:eastAsia="zh-CN"/>
              </w:rPr>
              <w:t>建成党建与中心工作融合机制1套，载体5个</w:t>
            </w:r>
            <w:r>
              <w:rPr>
                <w:rFonts w:hint="eastAsia" w:asciiTheme="minorEastAsia" w:hAnsiTheme="minorEastAsia" w:cstheme="minorEastAsia"/>
                <w:szCs w:val="21"/>
                <w:lang w:eastAsia="zh-CN"/>
              </w:rPr>
              <w:t>；</w:t>
            </w:r>
            <w:r>
              <w:rPr>
                <w:rFonts w:hint="eastAsia" w:asciiTheme="minorEastAsia" w:hAnsiTheme="minorEastAsia" w:cstheme="minorEastAsia"/>
                <w:szCs w:val="21"/>
                <w:lang w:val="en-US" w:eastAsia="zh-CN"/>
              </w:rPr>
              <w:t>加强落实巡视整改工作。</w:t>
            </w:r>
            <w:r>
              <w:rPr>
                <w:rFonts w:hint="eastAsia" w:asciiTheme="minorEastAsia" w:hAnsiTheme="minorEastAsia" w:cstheme="minorEastAsia"/>
                <w:szCs w:val="21"/>
              </w:rPr>
              <w:t>培养1支一业务强、管理强的“双强型”高素质干部队伍。</w:t>
            </w:r>
            <w:r>
              <w:rPr>
                <w:rFonts w:hint="eastAsia" w:asciiTheme="minorEastAsia" w:hAnsiTheme="minorEastAsia" w:cstheme="minorEastAsia"/>
                <w:szCs w:val="21"/>
                <w:lang w:val="en-US" w:eastAsia="zh-CN"/>
              </w:rPr>
              <w:t>全面推进全省</w:t>
            </w:r>
            <w:r>
              <w:rPr>
                <w:rFonts w:hint="eastAsia" w:asciiTheme="minorEastAsia" w:hAnsiTheme="minorEastAsia" w:cstheme="minorEastAsia"/>
                <w:szCs w:val="21"/>
              </w:rPr>
              <w:t>党建工作标杆</w:t>
            </w:r>
            <w:r>
              <w:rPr>
                <w:rFonts w:hint="eastAsia" w:asciiTheme="minorEastAsia" w:hAnsiTheme="minorEastAsia" w:cstheme="minorEastAsia"/>
                <w:szCs w:val="21"/>
                <w:lang w:val="en-US" w:eastAsia="zh-CN"/>
              </w:rPr>
              <w:t>院系和样板支部建设</w:t>
            </w:r>
            <w:r>
              <w:rPr>
                <w:rFonts w:hint="eastAsia" w:asciiTheme="minorEastAsia" w:hAnsiTheme="minorEastAsia" w:cstheme="minorEastAsia"/>
                <w:szCs w:val="21"/>
              </w:rPr>
              <w:t>。</w:t>
            </w:r>
            <w:r>
              <w:rPr>
                <w:rFonts w:hint="eastAsia" w:asciiTheme="minorEastAsia" w:hAnsiTheme="minorEastAsia" w:cstheme="minorEastAsia"/>
                <w:szCs w:val="21"/>
                <w:lang w:val="en-US" w:eastAsia="zh-CN"/>
              </w:rPr>
              <w:t>力争通过校第一届文明学院复评。力争获得全省教师党支部书记“双带头人”工作室1项，校</w:t>
            </w:r>
            <w:r>
              <w:rPr>
                <w:rFonts w:hint="eastAsia" w:asciiTheme="minorEastAsia" w:hAnsiTheme="minorEastAsia" w:cstheme="minorEastAsia"/>
                <w:szCs w:val="21"/>
              </w:rPr>
              <w:t>党支部创新奖1项</w:t>
            </w:r>
            <w:r>
              <w:rPr>
                <w:rFonts w:hint="eastAsia" w:asciiTheme="minorEastAsia" w:hAnsiTheme="minorEastAsia" w:cstheme="minorEastAsia"/>
                <w:szCs w:val="21"/>
                <w:lang w:eastAsia="zh-CN"/>
              </w:rPr>
              <w:t>，</w:t>
            </w:r>
            <w:r>
              <w:rPr>
                <w:rFonts w:hint="eastAsia" w:asciiTheme="minorEastAsia" w:hAnsiTheme="minorEastAsia" w:cstheme="minorEastAsia"/>
                <w:szCs w:val="21"/>
                <w:lang w:val="en-US" w:eastAsia="zh-CN"/>
              </w:rPr>
              <w:t>校微党课比赛奖1项，入选校“十大有影响力党建特色品牌”1项。</w:t>
            </w:r>
            <w:r>
              <w:rPr>
                <w:rFonts w:hint="eastAsia" w:asciiTheme="minorEastAsia" w:hAnsiTheme="minorEastAsia" w:cstheme="minorEastAsia"/>
                <w:szCs w:val="21"/>
              </w:rPr>
              <w:t>发展教师党员1名</w:t>
            </w:r>
            <w:r>
              <w:rPr>
                <w:rFonts w:hint="eastAsia" w:asciiTheme="minorEastAsia" w:hAnsiTheme="minorEastAsia" w:cstheme="minorEastAsia"/>
                <w:szCs w:val="21"/>
                <w:lang w:eastAsia="zh-CN"/>
              </w:rPr>
              <w:t>。</w:t>
            </w:r>
            <w:r>
              <w:rPr>
                <w:rFonts w:hint="eastAsia" w:asciiTheme="minorEastAsia" w:hAnsiTheme="minorEastAsia" w:cstheme="minorEastAsia"/>
                <w:szCs w:val="21"/>
                <w:lang w:val="en-US" w:eastAsia="zh-CN"/>
              </w:rPr>
              <w:t>完成支部换届工作。</w:t>
            </w:r>
          </w:p>
        </w:tc>
        <w:tc>
          <w:tcPr>
            <w:tcW w:w="2695" w:type="dxa"/>
            <w:vAlign w:val="top"/>
          </w:tcPr>
          <w:p>
            <w:pPr>
              <w:adjustRightInd w:val="0"/>
              <w:snapToGrid w:val="0"/>
              <w:rPr>
                <w:rFonts w:asciiTheme="minorEastAsia" w:hAnsiTheme="minorEastAsia" w:cstheme="minorEastAsia"/>
                <w:szCs w:val="21"/>
              </w:rPr>
            </w:pPr>
            <w:r>
              <w:rPr>
                <w:rFonts w:hint="eastAsia" w:asciiTheme="minorEastAsia" w:hAnsiTheme="minorEastAsia" w:cstheme="minorEastAsia"/>
                <w:szCs w:val="21"/>
                <w:lang w:val="en-US" w:eastAsia="zh-CN"/>
              </w:rPr>
              <w:t>持续深化“红色领航”工程，5大载体6项工程见成效；培育</w:t>
            </w:r>
            <w:r>
              <w:rPr>
                <w:rFonts w:hint="eastAsia" w:asciiTheme="minorEastAsia" w:hAnsiTheme="minorEastAsia" w:cstheme="minorEastAsia"/>
                <w:szCs w:val="21"/>
              </w:rPr>
              <w:t>1</w:t>
            </w:r>
            <w:r>
              <w:rPr>
                <w:rFonts w:hint="eastAsia" w:asciiTheme="minorEastAsia" w:hAnsiTheme="minorEastAsia" w:cstheme="minorEastAsia"/>
                <w:szCs w:val="21"/>
                <w:lang w:val="en-US" w:eastAsia="zh-CN"/>
              </w:rPr>
              <w:t>-2</w:t>
            </w:r>
            <w:r>
              <w:rPr>
                <w:rFonts w:hint="eastAsia" w:asciiTheme="minorEastAsia" w:hAnsiTheme="minorEastAsia" w:cstheme="minorEastAsia"/>
                <w:szCs w:val="21"/>
              </w:rPr>
              <w:t>项党建特色品牌项目，1个</w:t>
            </w:r>
            <w:r>
              <w:rPr>
                <w:rFonts w:hint="eastAsia" w:asciiTheme="minorEastAsia" w:hAnsiTheme="minorEastAsia" w:cstheme="minorEastAsia"/>
                <w:szCs w:val="21"/>
                <w:lang w:val="en-US" w:eastAsia="zh-CN"/>
              </w:rPr>
              <w:t>省</w:t>
            </w:r>
            <w:r>
              <w:rPr>
                <w:rFonts w:hint="eastAsia" w:asciiTheme="minorEastAsia" w:hAnsiTheme="minorEastAsia" w:cstheme="minorEastAsia"/>
                <w:szCs w:val="21"/>
              </w:rPr>
              <w:t>“双带头人”支部书记工作室。新增</w:t>
            </w:r>
            <w:r>
              <w:rPr>
                <w:rFonts w:hint="eastAsia" w:asciiTheme="minorEastAsia" w:hAnsiTheme="minorEastAsia" w:cstheme="minorEastAsia"/>
                <w:szCs w:val="21"/>
                <w:lang w:val="en-US" w:eastAsia="zh-CN"/>
              </w:rPr>
              <w:t>1个省高校先进基层党组织、</w:t>
            </w:r>
            <w:r>
              <w:rPr>
                <w:rFonts w:hint="eastAsia" w:asciiTheme="minorEastAsia" w:hAnsiTheme="minorEastAsia" w:cstheme="minorEastAsia"/>
                <w:szCs w:val="21"/>
              </w:rPr>
              <w:t>1项</w:t>
            </w:r>
            <w:r>
              <w:rPr>
                <w:rFonts w:hint="eastAsia" w:asciiTheme="minorEastAsia" w:hAnsiTheme="minorEastAsia" w:cstheme="minorEastAsia"/>
                <w:szCs w:val="21"/>
                <w:lang w:val="en-US" w:eastAsia="zh-CN"/>
              </w:rPr>
              <w:t>校党建特色品牌</w:t>
            </w:r>
            <w:r>
              <w:rPr>
                <w:rFonts w:hint="eastAsia" w:asciiTheme="minorEastAsia" w:hAnsiTheme="minorEastAsia" w:cstheme="minorEastAsia"/>
                <w:szCs w:val="21"/>
              </w:rPr>
              <w:t>、1</w:t>
            </w:r>
            <w:r>
              <w:rPr>
                <w:rFonts w:hint="eastAsia" w:asciiTheme="minorEastAsia" w:hAnsiTheme="minorEastAsia" w:cstheme="minorEastAsia"/>
                <w:szCs w:val="21"/>
                <w:lang w:val="en-US" w:eastAsia="zh-CN"/>
              </w:rPr>
              <w:t>-2</w:t>
            </w:r>
            <w:r>
              <w:rPr>
                <w:rFonts w:hint="eastAsia" w:asciiTheme="minorEastAsia" w:hAnsiTheme="minorEastAsia" w:cstheme="minorEastAsia"/>
                <w:szCs w:val="21"/>
              </w:rPr>
              <w:t>个样板党支部</w:t>
            </w:r>
            <w:r>
              <w:rPr>
                <w:rFonts w:hint="eastAsia" w:asciiTheme="minorEastAsia" w:hAnsiTheme="minorEastAsia" w:cstheme="minorEastAsia"/>
                <w:szCs w:val="21"/>
                <w:lang w:eastAsia="zh-CN"/>
              </w:rPr>
              <w:t>（</w:t>
            </w:r>
            <w:r>
              <w:rPr>
                <w:rFonts w:hint="eastAsia" w:asciiTheme="minorEastAsia" w:hAnsiTheme="minorEastAsia" w:cstheme="minorEastAsia"/>
                <w:szCs w:val="21"/>
                <w:lang w:val="en-US" w:eastAsia="zh-CN"/>
              </w:rPr>
              <w:t>含研究生支部</w:t>
            </w:r>
            <w:r>
              <w:rPr>
                <w:rFonts w:hint="eastAsia" w:asciiTheme="minorEastAsia" w:hAnsiTheme="minorEastAsia" w:cstheme="minorEastAsia"/>
                <w:szCs w:val="21"/>
                <w:lang w:eastAsia="zh-CN"/>
              </w:rPr>
              <w:t>）、</w:t>
            </w:r>
            <w:r>
              <w:rPr>
                <w:rFonts w:hint="eastAsia" w:asciiTheme="minorEastAsia" w:hAnsiTheme="minorEastAsia" w:cstheme="minorEastAsia"/>
                <w:szCs w:val="21"/>
                <w:lang w:val="en-US" w:eastAsia="zh-CN"/>
              </w:rPr>
              <w:t>1项微党课比赛奖。通过全省</w:t>
            </w:r>
            <w:r>
              <w:rPr>
                <w:rFonts w:hint="eastAsia" w:asciiTheme="minorEastAsia" w:hAnsiTheme="minorEastAsia" w:cstheme="minorEastAsia"/>
                <w:szCs w:val="21"/>
              </w:rPr>
              <w:t>党建工作标杆</w:t>
            </w:r>
            <w:r>
              <w:rPr>
                <w:rFonts w:hint="eastAsia" w:asciiTheme="minorEastAsia" w:hAnsiTheme="minorEastAsia" w:cstheme="minorEastAsia"/>
                <w:szCs w:val="21"/>
                <w:lang w:val="en-US" w:eastAsia="zh-CN"/>
              </w:rPr>
              <w:t>院系、样板支部和校第一批“十大有影响力”党建特色品牌中期检查</w:t>
            </w:r>
            <w:r>
              <w:rPr>
                <w:rFonts w:hint="eastAsia" w:asciiTheme="minorEastAsia" w:hAnsiTheme="minorEastAsia" w:cstheme="minorEastAsia"/>
                <w:szCs w:val="21"/>
              </w:rPr>
              <w:t>。加强党外代表人士队伍建设，重点培养1-2名在地方有影响的党外代表人士。发展教师党员1</w:t>
            </w:r>
            <w:r>
              <w:rPr>
                <w:rFonts w:hint="eastAsia" w:asciiTheme="minorEastAsia" w:hAnsiTheme="minorEastAsia" w:cstheme="minorEastAsia"/>
                <w:szCs w:val="21"/>
                <w:lang w:val="en-US" w:eastAsia="zh-CN"/>
              </w:rPr>
              <w:t>-2</w:t>
            </w:r>
            <w:r>
              <w:rPr>
                <w:rFonts w:hint="eastAsia" w:asciiTheme="minorEastAsia" w:hAnsiTheme="minorEastAsia" w:cstheme="minorEastAsia"/>
                <w:szCs w:val="21"/>
              </w:rPr>
              <w:t>名</w:t>
            </w:r>
            <w:r>
              <w:rPr>
                <w:rFonts w:hint="eastAsia" w:asciiTheme="minorEastAsia" w:hAnsiTheme="minorEastAsia" w:cstheme="minorEastAsia"/>
                <w:szCs w:val="21"/>
                <w:lang w:eastAsia="zh-CN"/>
              </w:rPr>
              <w:t>。</w:t>
            </w:r>
          </w:p>
        </w:tc>
        <w:tc>
          <w:tcPr>
            <w:tcW w:w="2582" w:type="dxa"/>
            <w:vAlign w:val="top"/>
          </w:tcPr>
          <w:p>
            <w:pPr>
              <w:adjustRightInd w:val="0"/>
              <w:snapToGrid w:val="0"/>
              <w:rPr>
                <w:rFonts w:asciiTheme="minorEastAsia" w:hAnsiTheme="minorEastAsia" w:cstheme="minorEastAsia"/>
                <w:szCs w:val="21"/>
              </w:rPr>
            </w:pPr>
            <w:r>
              <w:rPr>
                <w:rFonts w:hint="eastAsia" w:asciiTheme="minorEastAsia" w:hAnsiTheme="minorEastAsia" w:cstheme="minorEastAsia"/>
                <w:szCs w:val="21"/>
                <w:lang w:val="en-US" w:eastAsia="zh-CN"/>
              </w:rPr>
              <w:t>全省</w:t>
            </w:r>
            <w:r>
              <w:rPr>
                <w:rFonts w:hint="eastAsia" w:asciiTheme="minorEastAsia" w:hAnsiTheme="minorEastAsia" w:cstheme="minorEastAsia"/>
                <w:szCs w:val="21"/>
              </w:rPr>
              <w:t>党建工作标杆</w:t>
            </w:r>
            <w:r>
              <w:rPr>
                <w:rFonts w:hint="eastAsia" w:asciiTheme="minorEastAsia" w:hAnsiTheme="minorEastAsia" w:cstheme="minorEastAsia"/>
                <w:szCs w:val="21"/>
                <w:lang w:val="en-US" w:eastAsia="zh-CN"/>
              </w:rPr>
              <w:t>院系、样板支部和校第一批“十大有影响力”党建特色品牌通过验收</w:t>
            </w:r>
            <w:r>
              <w:rPr>
                <w:rFonts w:hint="eastAsia" w:asciiTheme="minorEastAsia" w:hAnsiTheme="minorEastAsia" w:cstheme="minorEastAsia"/>
                <w:szCs w:val="21"/>
              </w:rPr>
              <w:t>。</w:t>
            </w:r>
            <w:r>
              <w:rPr>
                <w:rFonts w:hint="eastAsia" w:asciiTheme="minorEastAsia" w:hAnsiTheme="minorEastAsia" w:cstheme="minorEastAsia"/>
                <w:szCs w:val="21"/>
                <w:lang w:val="en-US" w:eastAsia="zh-CN"/>
              </w:rPr>
              <w:t>力争获得全省研究生样板支部1项，新增1项校支部创新奖、1项微党课比赛奖，培育全省教师党支部书记“双带头人”工作室1项。</w:t>
            </w:r>
            <w:r>
              <w:rPr>
                <w:rFonts w:hint="eastAsia" w:asciiTheme="minorEastAsia" w:hAnsiTheme="minorEastAsia" w:cstheme="minorEastAsia"/>
                <w:szCs w:val="21"/>
              </w:rPr>
              <w:t>教职工</w:t>
            </w:r>
            <w:r>
              <w:rPr>
                <w:rFonts w:hint="eastAsia" w:asciiTheme="minorEastAsia" w:hAnsiTheme="minorEastAsia" w:cstheme="minorEastAsia"/>
                <w:szCs w:val="21"/>
                <w:lang w:val="en-US" w:eastAsia="zh-CN"/>
              </w:rPr>
              <w:t>党员</w:t>
            </w:r>
            <w:r>
              <w:rPr>
                <w:rFonts w:hint="eastAsia" w:asciiTheme="minorEastAsia" w:hAnsiTheme="minorEastAsia" w:cstheme="minorEastAsia"/>
                <w:szCs w:val="21"/>
              </w:rPr>
              <w:t>获高等级</w:t>
            </w:r>
            <w:r>
              <w:rPr>
                <w:rFonts w:hint="eastAsia" w:asciiTheme="minorEastAsia" w:hAnsiTheme="minorEastAsia" w:cstheme="minorEastAsia"/>
                <w:szCs w:val="21"/>
                <w:lang w:val="en-US" w:eastAsia="zh-CN"/>
              </w:rPr>
              <w:t>党建</w:t>
            </w:r>
            <w:r>
              <w:rPr>
                <w:rFonts w:hint="eastAsia" w:asciiTheme="minorEastAsia" w:hAnsiTheme="minorEastAsia" w:cstheme="minorEastAsia"/>
                <w:szCs w:val="21"/>
              </w:rPr>
              <w:t>荣誉</w:t>
            </w:r>
            <w:r>
              <w:rPr>
                <w:rFonts w:hint="eastAsia" w:asciiTheme="minorEastAsia" w:hAnsiTheme="minorEastAsia" w:cstheme="minorEastAsia"/>
                <w:szCs w:val="21"/>
                <w:lang w:eastAsia="zh-CN"/>
              </w:rPr>
              <w:t>、</w:t>
            </w:r>
            <w:r>
              <w:rPr>
                <w:rFonts w:hint="eastAsia" w:asciiTheme="minorEastAsia" w:hAnsiTheme="minorEastAsia" w:cstheme="minorEastAsia"/>
                <w:szCs w:val="21"/>
                <w:lang w:val="en-US" w:eastAsia="zh-CN"/>
              </w:rPr>
              <w:t>成果</w:t>
            </w:r>
            <w:r>
              <w:rPr>
                <w:rFonts w:hint="eastAsia" w:asciiTheme="minorEastAsia" w:hAnsiTheme="minorEastAsia" w:cstheme="minorEastAsia"/>
                <w:szCs w:val="21"/>
              </w:rPr>
              <w:t>1-2项；新增</w:t>
            </w:r>
            <w:r>
              <w:rPr>
                <w:rFonts w:hint="eastAsia" w:asciiTheme="minorEastAsia" w:hAnsiTheme="minorEastAsia" w:cstheme="minorEastAsia"/>
                <w:szCs w:val="21"/>
                <w:lang w:val="en-US" w:eastAsia="zh-CN"/>
              </w:rPr>
              <w:t>支部创新奖1项</w:t>
            </w:r>
            <w:r>
              <w:rPr>
                <w:rFonts w:hint="eastAsia" w:asciiTheme="minorEastAsia" w:hAnsiTheme="minorEastAsia" w:cstheme="minorEastAsia"/>
                <w:szCs w:val="21"/>
              </w:rPr>
              <w:t>，力争建成1个全国样板支部。</w:t>
            </w:r>
            <w:r>
              <w:rPr>
                <w:rFonts w:asciiTheme="minorEastAsia" w:hAnsiTheme="minorEastAsia" w:cstheme="minorEastAsia"/>
                <w:szCs w:val="21"/>
              </w:rPr>
              <w:t>发展教师党员</w:t>
            </w:r>
            <w:r>
              <w:rPr>
                <w:rFonts w:hint="eastAsia" w:asciiTheme="minorEastAsia" w:hAnsiTheme="minorEastAsia" w:cstheme="minorEastAsia"/>
                <w:szCs w:val="21"/>
              </w:rPr>
              <w:t>1</w:t>
            </w:r>
            <w:r>
              <w:rPr>
                <w:rFonts w:hint="eastAsia" w:asciiTheme="minorEastAsia" w:hAnsiTheme="minorEastAsia" w:cstheme="minorEastAsia"/>
                <w:szCs w:val="21"/>
                <w:lang w:val="en-US" w:eastAsia="zh-CN"/>
              </w:rPr>
              <w:t>-2</w:t>
            </w:r>
            <w:r>
              <w:rPr>
                <w:rFonts w:hint="eastAsia" w:asciiTheme="minorEastAsia" w:hAnsiTheme="minorEastAsia" w:cstheme="minorEastAsia"/>
                <w:szCs w:val="21"/>
              </w:rPr>
              <w:t>名</w:t>
            </w:r>
            <w:r>
              <w:rPr>
                <w:rFonts w:hint="eastAsia" w:asciiTheme="minorEastAsia" w:hAnsiTheme="minorEastAsia" w:cstheme="minorEastAsia"/>
                <w:szCs w:val="21"/>
                <w:lang w:eastAsia="zh-CN"/>
              </w:rPr>
              <w:t>。</w:t>
            </w:r>
          </w:p>
        </w:tc>
        <w:tc>
          <w:tcPr>
            <w:tcW w:w="3100" w:type="dxa"/>
            <w:vAlign w:val="top"/>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推进从严治党，学院治理体系完善、治理能力提升</w:t>
            </w:r>
            <w:r>
              <w:rPr>
                <w:rFonts w:hint="eastAsia" w:asciiTheme="minorEastAsia" w:hAnsiTheme="minorEastAsia" w:cstheme="minorEastAsia"/>
                <w:szCs w:val="21"/>
                <w:lang w:eastAsia="zh-CN"/>
              </w:rPr>
              <w:t>，“</w:t>
            </w:r>
            <w:r>
              <w:rPr>
                <w:rFonts w:hint="eastAsia" w:asciiTheme="minorEastAsia" w:hAnsiTheme="minorEastAsia" w:cstheme="minorEastAsia"/>
                <w:szCs w:val="21"/>
                <w:lang w:val="en-US" w:eastAsia="zh-CN"/>
              </w:rPr>
              <w:t>红色领航</w:t>
            </w:r>
            <w:r>
              <w:rPr>
                <w:rFonts w:hint="eastAsia" w:asciiTheme="minorEastAsia" w:hAnsiTheme="minorEastAsia" w:cstheme="minorEastAsia"/>
                <w:szCs w:val="21"/>
                <w:lang w:eastAsia="zh-CN"/>
              </w:rPr>
              <w:t>”</w:t>
            </w:r>
            <w:r>
              <w:rPr>
                <w:rFonts w:hint="eastAsia" w:asciiTheme="minorEastAsia" w:hAnsiTheme="minorEastAsia" w:cstheme="minorEastAsia"/>
                <w:szCs w:val="21"/>
                <w:lang w:val="en-US" w:eastAsia="zh-CN"/>
              </w:rPr>
              <w:t>工程示范效应好，</w:t>
            </w:r>
            <w:r>
              <w:rPr>
                <w:rFonts w:hint="eastAsia" w:asciiTheme="minorEastAsia" w:hAnsiTheme="minorEastAsia" w:cstheme="minorEastAsia"/>
                <w:szCs w:val="21"/>
                <w:lang w:eastAsia="zh-CN"/>
              </w:rPr>
              <w:t>“</w:t>
            </w:r>
            <w:r>
              <w:rPr>
                <w:rFonts w:hint="eastAsia" w:asciiTheme="minorEastAsia" w:hAnsiTheme="minorEastAsia" w:cstheme="minorEastAsia"/>
                <w:szCs w:val="21"/>
                <w:lang w:val="en-US" w:eastAsia="zh-CN"/>
              </w:rPr>
              <w:t>清朗学院</w:t>
            </w:r>
            <w:r>
              <w:rPr>
                <w:rFonts w:hint="eastAsia" w:asciiTheme="minorEastAsia" w:hAnsiTheme="minorEastAsia" w:cstheme="minorEastAsia"/>
                <w:szCs w:val="21"/>
                <w:lang w:eastAsia="zh-CN"/>
              </w:rPr>
              <w:t>”</w:t>
            </w:r>
            <w:r>
              <w:rPr>
                <w:rFonts w:hint="eastAsia" w:asciiTheme="minorEastAsia" w:hAnsiTheme="minorEastAsia" w:cstheme="minorEastAsia"/>
                <w:szCs w:val="21"/>
                <w:lang w:val="en-US" w:eastAsia="zh-CN"/>
              </w:rPr>
              <w:t>建设成效明显</w:t>
            </w:r>
            <w:r>
              <w:rPr>
                <w:rFonts w:hint="eastAsia" w:asciiTheme="minorEastAsia" w:hAnsiTheme="minorEastAsia" w:cstheme="minorEastAsia"/>
                <w:szCs w:val="21"/>
              </w:rPr>
              <w:t>。</w:t>
            </w:r>
            <w:r>
              <w:rPr>
                <w:rFonts w:hint="eastAsia" w:asciiTheme="minorEastAsia" w:hAnsiTheme="minorEastAsia" w:cstheme="minorEastAsia"/>
                <w:szCs w:val="21"/>
                <w:lang w:val="en-US" w:eastAsia="zh-CN"/>
              </w:rPr>
              <w:t>新增校十大有影响力品牌1项，新增校党建特色品牌</w:t>
            </w:r>
            <w:r>
              <w:rPr>
                <w:rFonts w:hint="eastAsia" w:asciiTheme="minorEastAsia" w:hAnsiTheme="minorEastAsia" w:cstheme="minorEastAsia"/>
                <w:szCs w:val="21"/>
              </w:rPr>
              <w:t>1项</w:t>
            </w:r>
            <w:r>
              <w:rPr>
                <w:rFonts w:hint="eastAsia" w:asciiTheme="minorEastAsia" w:hAnsiTheme="minorEastAsia" w:cstheme="minorEastAsia"/>
                <w:szCs w:val="21"/>
                <w:lang w:eastAsia="zh-CN"/>
              </w:rPr>
              <w:t>、</w:t>
            </w:r>
            <w:r>
              <w:rPr>
                <w:rFonts w:hint="eastAsia" w:asciiTheme="minorEastAsia" w:hAnsiTheme="minorEastAsia" w:cstheme="minorEastAsia"/>
                <w:szCs w:val="21"/>
                <w:lang w:val="en-US" w:eastAsia="zh-CN"/>
              </w:rPr>
              <w:t>微党课比赛奖1项，力争获省高校先进基层党组织1个，省高校优秀共产党员、党务工作者1名；力争</w:t>
            </w:r>
            <w:r>
              <w:rPr>
                <w:rFonts w:hint="eastAsia" w:asciiTheme="minorEastAsia" w:hAnsiTheme="minorEastAsia" w:cstheme="minorEastAsia"/>
                <w:szCs w:val="21"/>
              </w:rPr>
              <w:t>建成</w:t>
            </w:r>
            <w:r>
              <w:rPr>
                <w:rFonts w:hint="eastAsia" w:asciiTheme="minorEastAsia" w:hAnsiTheme="minorEastAsia" w:cstheme="minorEastAsia"/>
                <w:szCs w:val="21"/>
                <w:lang w:val="en-US" w:eastAsia="zh-CN"/>
              </w:rPr>
              <w:t>全省</w:t>
            </w:r>
            <w:r>
              <w:rPr>
                <w:rFonts w:hint="eastAsia" w:asciiTheme="minorEastAsia" w:hAnsiTheme="minorEastAsia" w:cstheme="minorEastAsia"/>
                <w:szCs w:val="21"/>
              </w:rPr>
              <w:t>“双带头人”支部书记工作室1项，全</w:t>
            </w:r>
            <w:r>
              <w:rPr>
                <w:rFonts w:hint="eastAsia" w:asciiTheme="minorEastAsia" w:hAnsiTheme="minorEastAsia" w:cstheme="minorEastAsia"/>
                <w:szCs w:val="21"/>
                <w:lang w:val="en-US" w:eastAsia="zh-CN"/>
              </w:rPr>
              <w:t>国</w:t>
            </w:r>
            <w:r>
              <w:rPr>
                <w:rFonts w:hint="eastAsia" w:asciiTheme="minorEastAsia" w:hAnsiTheme="minorEastAsia" w:cstheme="minorEastAsia"/>
                <w:szCs w:val="21"/>
              </w:rPr>
              <w:t>党建工作标杆院系。发展教师党员1</w:t>
            </w:r>
            <w:r>
              <w:rPr>
                <w:rFonts w:hint="eastAsia" w:asciiTheme="minorEastAsia" w:hAnsiTheme="minorEastAsia" w:cstheme="minorEastAsia"/>
                <w:szCs w:val="21"/>
                <w:lang w:val="en-US" w:eastAsia="zh-CN"/>
              </w:rPr>
              <w:t>-2</w:t>
            </w:r>
            <w:r>
              <w:rPr>
                <w:rFonts w:hint="eastAsia" w:asciiTheme="minorEastAsia" w:hAnsiTheme="minorEastAsia" w:cstheme="minorEastAsia"/>
                <w:szCs w:val="21"/>
              </w:rPr>
              <w:t>名</w:t>
            </w:r>
            <w:r>
              <w:rPr>
                <w:rFonts w:hint="eastAsia" w:asciiTheme="minorEastAsia" w:hAnsiTheme="minorEastAsia" w:cstheme="minorEastAsia"/>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6" w:type="dxa"/>
            <w:gridSpan w:val="2"/>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牵头负责人</w:t>
            </w:r>
          </w:p>
        </w:tc>
        <w:tc>
          <w:tcPr>
            <w:tcW w:w="2510"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何阅雄</w:t>
            </w:r>
          </w:p>
        </w:tc>
        <w:tc>
          <w:tcPr>
            <w:tcW w:w="2593"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何阅雄</w:t>
            </w:r>
          </w:p>
        </w:tc>
        <w:tc>
          <w:tcPr>
            <w:tcW w:w="2695"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何阅雄</w:t>
            </w:r>
          </w:p>
        </w:tc>
        <w:tc>
          <w:tcPr>
            <w:tcW w:w="2582"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何阅雄</w:t>
            </w:r>
          </w:p>
        </w:tc>
        <w:tc>
          <w:tcPr>
            <w:tcW w:w="3100"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何阅雄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 w:type="dxa"/>
          </w:tcPr>
          <w:p>
            <w:pPr>
              <w:adjustRightInd w:val="0"/>
              <w:snapToGrid w:val="0"/>
              <w:spacing w:line="360" w:lineRule="auto"/>
              <w:rPr>
                <w:sz w:val="28"/>
                <w:szCs w:val="28"/>
              </w:rPr>
            </w:pPr>
            <w:r>
              <w:rPr>
                <w:rFonts w:hint="eastAsia"/>
                <w:sz w:val="28"/>
                <w:szCs w:val="28"/>
              </w:rPr>
              <w:t>8</w:t>
            </w:r>
          </w:p>
        </w:tc>
        <w:tc>
          <w:tcPr>
            <w:tcW w:w="876"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学生工作</w:t>
            </w:r>
          </w:p>
        </w:tc>
        <w:tc>
          <w:tcPr>
            <w:tcW w:w="2510" w:type="dxa"/>
          </w:tcPr>
          <w:p>
            <w:pPr>
              <w:adjustRightInd w:val="0"/>
              <w:snapToGrid w:val="0"/>
              <w:jc w:val="left"/>
              <w:rPr>
                <w:rFonts w:asciiTheme="minorEastAsia" w:hAnsiTheme="minorEastAsia" w:cstheme="minorEastAsia"/>
                <w:color w:val="auto"/>
                <w:szCs w:val="21"/>
              </w:rPr>
            </w:pPr>
            <w:r>
              <w:rPr>
                <w:rFonts w:hint="eastAsia" w:asciiTheme="minorEastAsia" w:hAnsiTheme="minorEastAsia" w:cstheme="minorEastAsia"/>
                <w:color w:val="auto"/>
                <w:szCs w:val="21"/>
              </w:rPr>
              <w:t>学生学科竞赛参与率60%,获省级（A类）竞赛一等奖及以上奖项11项；本科生发表论文27篇；国内外读研27人，研究生报考101人；毕业生初次就业率、1年后就业率保持在95%以上；考编率比去年提高1%，留湖率12%；新建优质生源基地、就业基地各1个。</w:t>
            </w:r>
          </w:p>
        </w:tc>
        <w:tc>
          <w:tcPr>
            <w:tcW w:w="2593" w:type="dxa"/>
          </w:tcPr>
          <w:p>
            <w:pPr>
              <w:adjustRightInd w:val="0"/>
              <w:snapToGrid w:val="0"/>
              <w:rPr>
                <w:rFonts w:hint="eastAsia" w:asciiTheme="minorEastAsia" w:hAnsiTheme="minorEastAsia" w:cstheme="minorEastAsia"/>
                <w:color w:val="auto"/>
                <w:szCs w:val="21"/>
              </w:rPr>
            </w:pPr>
            <w:r>
              <w:rPr>
                <w:rFonts w:hint="eastAsia" w:asciiTheme="minorEastAsia" w:hAnsiTheme="minorEastAsia" w:cstheme="minorEastAsia"/>
                <w:color w:val="auto"/>
                <w:szCs w:val="21"/>
              </w:rPr>
              <w:t>学生学科竞赛参与率65%,获省级（A类）竞赛一等奖及以上奖项1</w:t>
            </w:r>
            <w:r>
              <w:rPr>
                <w:rFonts w:hint="eastAsia" w:asciiTheme="minorEastAsia" w:hAnsiTheme="minorEastAsia" w:cstheme="minorEastAsia"/>
                <w:color w:val="auto"/>
                <w:szCs w:val="21"/>
                <w:lang w:val="en-US" w:eastAsia="zh-CN"/>
              </w:rPr>
              <w:t>2</w:t>
            </w:r>
            <w:r>
              <w:rPr>
                <w:rFonts w:hint="eastAsia" w:asciiTheme="minorEastAsia" w:hAnsiTheme="minorEastAsia" w:cstheme="minorEastAsia"/>
                <w:color w:val="auto"/>
                <w:szCs w:val="21"/>
              </w:rPr>
              <w:t>项；本科生发表论文/获得专利41篇（项）；国内外读研38人，研究生报考93人；毕业生初次就业率、1年后就业率保持在95%以上，考编考研率比去年提高1%，，留湖116人；新建优质生源基地、就业基地各2个。</w:t>
            </w:r>
          </w:p>
        </w:tc>
        <w:tc>
          <w:tcPr>
            <w:tcW w:w="2695" w:type="dxa"/>
          </w:tcPr>
          <w:p>
            <w:pPr>
              <w:adjustRightInd w:val="0"/>
              <w:snapToGrid w:val="0"/>
              <w:rPr>
                <w:rFonts w:hint="eastAsia" w:asciiTheme="minorEastAsia" w:hAnsiTheme="minorEastAsia" w:cstheme="minorEastAsia"/>
                <w:color w:val="auto"/>
                <w:szCs w:val="21"/>
              </w:rPr>
            </w:pPr>
            <w:r>
              <w:rPr>
                <w:rFonts w:hint="eastAsia" w:asciiTheme="minorEastAsia" w:hAnsiTheme="minorEastAsia" w:cstheme="minorEastAsia"/>
                <w:color w:val="auto"/>
                <w:szCs w:val="21"/>
              </w:rPr>
              <w:t>学生学科竞赛参与率66%,获省级（A类）竞赛一等奖及以上奖项1</w:t>
            </w:r>
            <w:r>
              <w:rPr>
                <w:rFonts w:hint="eastAsia" w:asciiTheme="minorEastAsia" w:hAnsiTheme="minorEastAsia" w:cstheme="minorEastAsia"/>
                <w:color w:val="auto"/>
                <w:szCs w:val="21"/>
                <w:lang w:val="en-US" w:eastAsia="zh-CN"/>
              </w:rPr>
              <w:t>4</w:t>
            </w:r>
            <w:r>
              <w:rPr>
                <w:rFonts w:hint="eastAsia" w:asciiTheme="minorEastAsia" w:hAnsiTheme="minorEastAsia" w:cstheme="minorEastAsia"/>
                <w:color w:val="auto"/>
                <w:szCs w:val="21"/>
              </w:rPr>
              <w:t>项；本科生发表论文/获得专利45篇（项）；国内外读研38人，研究生报考100人；毕业生初次就业率、1年后就业率保持在95%以上，考编考研率比去年提高1%，，留湖116人；新建优质生源基地、就业基地各2个。</w:t>
            </w:r>
          </w:p>
        </w:tc>
        <w:tc>
          <w:tcPr>
            <w:tcW w:w="2582" w:type="dxa"/>
          </w:tcPr>
          <w:p>
            <w:pPr>
              <w:adjustRightInd w:val="0"/>
              <w:snapToGrid w:val="0"/>
              <w:rPr>
                <w:rFonts w:hint="eastAsia" w:asciiTheme="minorEastAsia" w:hAnsiTheme="minorEastAsia" w:cstheme="minorEastAsia"/>
                <w:color w:val="auto"/>
                <w:szCs w:val="21"/>
              </w:rPr>
            </w:pPr>
            <w:r>
              <w:rPr>
                <w:rFonts w:hint="eastAsia" w:asciiTheme="minorEastAsia" w:hAnsiTheme="minorEastAsia" w:cstheme="minorEastAsia"/>
                <w:color w:val="auto"/>
                <w:szCs w:val="21"/>
              </w:rPr>
              <w:t>学生学科竞赛参与率68%,获省级（A类）竞赛一等奖及以上奖项1</w:t>
            </w:r>
            <w:r>
              <w:rPr>
                <w:rFonts w:hint="eastAsia" w:asciiTheme="minorEastAsia" w:hAnsiTheme="minorEastAsia" w:cstheme="minorEastAsia"/>
                <w:color w:val="auto"/>
                <w:szCs w:val="21"/>
                <w:lang w:val="en-US" w:eastAsia="zh-CN"/>
              </w:rPr>
              <w:t>6</w:t>
            </w:r>
            <w:r>
              <w:rPr>
                <w:rFonts w:hint="eastAsia" w:asciiTheme="minorEastAsia" w:hAnsiTheme="minorEastAsia" w:cstheme="minorEastAsia"/>
                <w:color w:val="auto"/>
                <w:szCs w:val="21"/>
              </w:rPr>
              <w:t>项；本科生发表论文/获得专利50篇（项）；国内外读研40人，研究生报考110人；毕业生初次就业率、1年后就业率保持在95%以上，考编考研率比去年提高1%，留湖120人；新建优质生源基地、就业基地各2个。</w:t>
            </w:r>
          </w:p>
        </w:tc>
        <w:tc>
          <w:tcPr>
            <w:tcW w:w="3100" w:type="dxa"/>
          </w:tcPr>
          <w:p>
            <w:pPr>
              <w:adjustRightInd w:val="0"/>
              <w:snapToGrid w:val="0"/>
              <w:rPr>
                <w:rFonts w:hint="eastAsia" w:asciiTheme="minorEastAsia" w:hAnsiTheme="minorEastAsia" w:cstheme="minorEastAsia"/>
                <w:color w:val="auto"/>
                <w:szCs w:val="21"/>
              </w:rPr>
            </w:pPr>
            <w:r>
              <w:rPr>
                <w:rFonts w:hint="eastAsia" w:asciiTheme="minorEastAsia" w:hAnsiTheme="minorEastAsia" w:cstheme="minorEastAsia"/>
                <w:color w:val="auto"/>
                <w:szCs w:val="21"/>
              </w:rPr>
              <w:t>学生学科竞赛参与率70%,获省级（A类）竞赛一等奖及以上奖项1</w:t>
            </w:r>
            <w:r>
              <w:rPr>
                <w:rFonts w:hint="eastAsia" w:asciiTheme="minorEastAsia" w:hAnsiTheme="minorEastAsia" w:cstheme="minorEastAsia"/>
                <w:color w:val="auto"/>
                <w:szCs w:val="21"/>
                <w:lang w:val="en-US" w:eastAsia="zh-CN"/>
              </w:rPr>
              <w:t>7</w:t>
            </w:r>
            <w:r>
              <w:rPr>
                <w:rFonts w:hint="eastAsia" w:asciiTheme="minorEastAsia" w:hAnsiTheme="minorEastAsia" w:cstheme="minorEastAsia"/>
                <w:color w:val="auto"/>
                <w:szCs w:val="21"/>
              </w:rPr>
              <w:t>项；本科生发表论文/获得专利55篇（项）；国内外读研45人，研究生报考120人；毕业生初次就业率、1年后就业率保持在95%以上，考编考研率比去年提高1%，，留湖125人；新建优质生源基地、就业基地各2个。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6" w:type="dxa"/>
            <w:gridSpan w:val="2"/>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牵头负责人</w:t>
            </w:r>
          </w:p>
        </w:tc>
        <w:tc>
          <w:tcPr>
            <w:tcW w:w="2510" w:type="dxa"/>
          </w:tcPr>
          <w:p>
            <w:pPr>
              <w:adjustRightInd w:val="0"/>
              <w:snapToGrid w:val="0"/>
              <w:jc w:val="left"/>
              <w:rPr>
                <w:rFonts w:asciiTheme="minorEastAsia" w:hAnsiTheme="minorEastAsia" w:cstheme="minorEastAsia"/>
                <w:szCs w:val="21"/>
              </w:rPr>
            </w:pPr>
            <w:r>
              <w:rPr>
                <w:rFonts w:hint="eastAsia" w:asciiTheme="minorEastAsia" w:hAnsiTheme="minorEastAsia" w:cstheme="minorEastAsia"/>
                <w:szCs w:val="21"/>
              </w:rPr>
              <w:t>朱竞</w:t>
            </w:r>
          </w:p>
        </w:tc>
        <w:tc>
          <w:tcPr>
            <w:tcW w:w="2593"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朱竞</w:t>
            </w:r>
          </w:p>
        </w:tc>
        <w:tc>
          <w:tcPr>
            <w:tcW w:w="2695"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朱竞</w:t>
            </w:r>
          </w:p>
        </w:tc>
        <w:tc>
          <w:tcPr>
            <w:tcW w:w="2582"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朱竞</w:t>
            </w:r>
          </w:p>
        </w:tc>
        <w:tc>
          <w:tcPr>
            <w:tcW w:w="3100" w:type="dxa"/>
          </w:tcPr>
          <w:p>
            <w:pPr>
              <w:adjustRightInd w:val="0"/>
              <w:snapToGrid w:val="0"/>
              <w:rPr>
                <w:rFonts w:asciiTheme="minorEastAsia" w:hAnsiTheme="minorEastAsia" w:cstheme="minorEastAsia"/>
                <w:szCs w:val="21"/>
              </w:rPr>
            </w:pPr>
            <w:r>
              <w:rPr>
                <w:rFonts w:hint="eastAsia" w:asciiTheme="minorEastAsia" w:hAnsiTheme="minorEastAsia" w:cstheme="minorEastAsia"/>
                <w:szCs w:val="21"/>
              </w:rPr>
              <w:t>朱竞</w:t>
            </w:r>
          </w:p>
        </w:tc>
      </w:tr>
    </w:tbl>
    <w:p>
      <w:pPr>
        <w:adjustRightInd w:val="0"/>
        <w:snapToGrid w:val="0"/>
        <w:jc w:val="center"/>
        <w:rPr>
          <w:sz w:val="24"/>
          <w:szCs w:val="24"/>
        </w:rPr>
      </w:pPr>
      <w:r>
        <w:rPr>
          <w:rFonts w:hint="eastAsia"/>
          <w:sz w:val="24"/>
          <w:szCs w:val="24"/>
        </w:rPr>
        <w:t xml:space="preserve">                                              </w:t>
      </w:r>
    </w:p>
    <w:p>
      <w:pPr>
        <w:adjustRightInd w:val="0"/>
        <w:snapToGrid w:val="0"/>
        <w:spacing w:line="300" w:lineRule="auto"/>
        <w:rPr>
          <w:sz w:val="18"/>
          <w:szCs w:val="18"/>
        </w:rPr>
      </w:pPr>
      <w:r>
        <w:rPr>
          <w:rFonts w:hint="eastAsia"/>
          <w:sz w:val="18"/>
          <w:szCs w:val="18"/>
        </w:rPr>
        <w:t>注：牵头负责人每年</w:t>
      </w:r>
      <w:r>
        <w:rPr>
          <w:rFonts w:hint="eastAsia"/>
          <w:sz w:val="18"/>
          <w:szCs w:val="18"/>
          <w:lang w:val="en-US" w:eastAsia="zh-CN"/>
        </w:rPr>
        <w:t>11月</w:t>
      </w:r>
      <w:r>
        <w:rPr>
          <w:rFonts w:hint="eastAsia"/>
          <w:sz w:val="18"/>
          <w:szCs w:val="18"/>
        </w:rPr>
        <w:t>制定好第二年的详细实施计划，做到具体任务落实到学科/教学组织，落实到具体人，并有相应的具体措施。</w:t>
      </w:r>
    </w:p>
    <w:p>
      <w:pPr>
        <w:adjustRightInd w:val="0"/>
        <w:snapToGrid w:val="0"/>
        <w:spacing w:line="240" w:lineRule="auto"/>
        <w:ind w:firstLine="561"/>
        <w:rPr>
          <w:sz w:val="18"/>
          <w:szCs w:val="18"/>
        </w:rPr>
      </w:pPr>
      <w:r>
        <w:rPr>
          <w:sz w:val="18"/>
          <w:szCs w:val="18"/>
        </w:rPr>
        <w:t>“十四五”期间标志性成果汇总：</w:t>
      </w:r>
    </w:p>
    <w:p>
      <w:pPr>
        <w:adjustRightInd w:val="0"/>
        <w:snapToGrid w:val="0"/>
        <w:spacing w:line="240" w:lineRule="auto"/>
        <w:ind w:firstLine="561"/>
        <w:rPr>
          <w:sz w:val="18"/>
          <w:szCs w:val="18"/>
        </w:rPr>
      </w:pPr>
      <w:r>
        <w:rPr>
          <w:rFonts w:hint="eastAsia"/>
          <w:sz w:val="18"/>
          <w:szCs w:val="18"/>
        </w:rPr>
        <w:t>1.人才：引进4</w:t>
      </w:r>
      <w:r>
        <w:rPr>
          <w:rFonts w:hint="eastAsia"/>
          <w:sz w:val="18"/>
          <w:szCs w:val="18"/>
          <w:lang w:val="en-US" w:eastAsia="zh-CN"/>
        </w:rPr>
        <w:t>5</w:t>
      </w:r>
      <w:r>
        <w:rPr>
          <w:rFonts w:hint="eastAsia"/>
          <w:sz w:val="18"/>
          <w:szCs w:val="18"/>
        </w:rPr>
        <w:t>-50人，专业教师达到110人以上，博士比较达到80%以上，形成3-4个学科团队、5个稳定的教学团队。</w:t>
      </w:r>
    </w:p>
    <w:p>
      <w:pPr>
        <w:adjustRightInd w:val="0"/>
        <w:snapToGrid w:val="0"/>
        <w:spacing w:line="240" w:lineRule="auto"/>
        <w:ind w:firstLine="561"/>
        <w:rPr>
          <w:sz w:val="18"/>
          <w:szCs w:val="18"/>
        </w:rPr>
      </w:pPr>
      <w:r>
        <w:rPr>
          <w:rFonts w:hint="eastAsia"/>
          <w:sz w:val="18"/>
          <w:szCs w:val="18"/>
        </w:rPr>
        <w:t>2. 学科和研究生教育：形成5-6个特色明显的研究方向，教育学和教育硕士等硕士点的建设成效明显，达到教育博士点授权审核条件，</w:t>
      </w:r>
      <w:r>
        <w:rPr>
          <w:rFonts w:hint="eastAsia"/>
          <w:sz w:val="18"/>
          <w:szCs w:val="18"/>
          <w:lang w:eastAsia="zh-CN"/>
        </w:rPr>
        <w:t>省级以上一流学科</w:t>
      </w:r>
      <w:r>
        <w:rPr>
          <w:rFonts w:hint="eastAsia"/>
          <w:sz w:val="18"/>
          <w:szCs w:val="18"/>
          <w:lang w:val="en-US" w:eastAsia="zh-CN"/>
        </w:rPr>
        <w:t>1个，</w:t>
      </w:r>
      <w:r>
        <w:rPr>
          <w:rFonts w:hint="eastAsia"/>
          <w:sz w:val="18"/>
          <w:szCs w:val="18"/>
        </w:rPr>
        <w:t>教育硕士优秀案例6-8个，省优硕士学位论文2-3篇，博士生导师资格7-9人。</w:t>
      </w:r>
    </w:p>
    <w:p>
      <w:pPr>
        <w:adjustRightInd w:val="0"/>
        <w:snapToGrid w:val="0"/>
        <w:spacing w:line="240" w:lineRule="auto"/>
        <w:ind w:firstLine="561"/>
        <w:rPr>
          <w:sz w:val="18"/>
          <w:szCs w:val="18"/>
        </w:rPr>
      </w:pPr>
      <w:r>
        <w:rPr>
          <w:rFonts w:hint="eastAsia"/>
          <w:sz w:val="18"/>
          <w:szCs w:val="18"/>
        </w:rPr>
        <w:t>3. 科研：国家级项目12项以上，省部级项目40项以上，权威和一级以上论文100篇，专著25部，省部级及以上科研成果奖4-5项。纵向科研经费4</w:t>
      </w:r>
      <w:r>
        <w:rPr>
          <w:rFonts w:hint="eastAsia"/>
          <w:sz w:val="18"/>
          <w:szCs w:val="18"/>
          <w:lang w:val="en-US" w:eastAsia="zh-CN"/>
        </w:rPr>
        <w:t>5</w:t>
      </w:r>
      <w:r>
        <w:rPr>
          <w:rFonts w:hint="eastAsia"/>
          <w:sz w:val="18"/>
          <w:szCs w:val="18"/>
        </w:rPr>
        <w:t>0万元。省级智库/基地学科平台</w:t>
      </w:r>
      <w:r>
        <w:rPr>
          <w:rFonts w:hint="eastAsia"/>
          <w:sz w:val="18"/>
          <w:szCs w:val="18"/>
          <w:lang w:val="en-US" w:eastAsia="zh-CN"/>
        </w:rPr>
        <w:t>1</w:t>
      </w:r>
      <w:r>
        <w:rPr>
          <w:rFonts w:hint="eastAsia"/>
          <w:sz w:val="18"/>
          <w:szCs w:val="18"/>
        </w:rPr>
        <w:t>个。</w:t>
      </w:r>
    </w:p>
    <w:p>
      <w:pPr>
        <w:adjustRightInd w:val="0"/>
        <w:snapToGrid w:val="0"/>
        <w:spacing w:line="240" w:lineRule="auto"/>
        <w:ind w:firstLine="561"/>
        <w:rPr>
          <w:rFonts w:hint="eastAsia"/>
          <w:sz w:val="18"/>
          <w:szCs w:val="18"/>
        </w:rPr>
      </w:pPr>
      <w:r>
        <w:rPr>
          <w:rFonts w:hint="eastAsia"/>
          <w:sz w:val="18"/>
          <w:szCs w:val="18"/>
        </w:rPr>
        <w:t>4.专业建设：国家级一流本科专业（小教）</w:t>
      </w:r>
      <w:r>
        <w:rPr>
          <w:rFonts w:hint="eastAsia"/>
          <w:sz w:val="18"/>
          <w:szCs w:val="18"/>
          <w:lang w:val="en-US" w:eastAsia="zh-CN"/>
        </w:rPr>
        <w:t>1个，省级以上优秀教材4部，专</w:t>
      </w:r>
      <w:r>
        <w:rPr>
          <w:rFonts w:hint="eastAsia"/>
          <w:sz w:val="18"/>
          <w:szCs w:val="18"/>
        </w:rPr>
        <w:t>业特色教材</w:t>
      </w:r>
      <w:r>
        <w:rPr>
          <w:rFonts w:hint="eastAsia"/>
          <w:sz w:val="18"/>
          <w:szCs w:val="18"/>
          <w:lang w:val="en-US" w:eastAsia="zh-CN"/>
        </w:rPr>
        <w:t>9</w:t>
      </w:r>
      <w:r>
        <w:rPr>
          <w:rFonts w:hint="eastAsia"/>
          <w:sz w:val="18"/>
          <w:szCs w:val="18"/>
        </w:rPr>
        <w:t>-</w:t>
      </w:r>
      <w:r>
        <w:rPr>
          <w:rFonts w:hint="eastAsia"/>
          <w:sz w:val="18"/>
          <w:szCs w:val="18"/>
          <w:lang w:val="en-US" w:eastAsia="zh-CN"/>
        </w:rPr>
        <w:t>10</w:t>
      </w:r>
      <w:r>
        <w:rPr>
          <w:rFonts w:hint="eastAsia"/>
          <w:sz w:val="18"/>
          <w:szCs w:val="18"/>
        </w:rPr>
        <w:t>部，国家级和省级教学改革项目1</w:t>
      </w:r>
      <w:r>
        <w:rPr>
          <w:rFonts w:hint="eastAsia"/>
          <w:sz w:val="18"/>
          <w:szCs w:val="18"/>
          <w:lang w:val="en-US" w:eastAsia="zh-CN"/>
        </w:rPr>
        <w:t>4</w:t>
      </w:r>
      <w:r>
        <w:rPr>
          <w:rFonts w:hint="eastAsia"/>
          <w:sz w:val="18"/>
          <w:szCs w:val="18"/>
        </w:rPr>
        <w:t>项，国家和省级一流本科课程</w:t>
      </w:r>
      <w:r>
        <w:rPr>
          <w:rFonts w:hint="eastAsia"/>
          <w:sz w:val="18"/>
          <w:szCs w:val="18"/>
          <w:lang w:val="en-US" w:eastAsia="zh-CN"/>
        </w:rPr>
        <w:t>4</w:t>
      </w:r>
      <w:r>
        <w:rPr>
          <w:rFonts w:hint="eastAsia"/>
          <w:sz w:val="18"/>
          <w:szCs w:val="18"/>
        </w:rPr>
        <w:t>0门，省部级及以上教学成果奖2-3项。</w:t>
      </w:r>
    </w:p>
    <w:p>
      <w:pPr>
        <w:adjustRightInd w:val="0"/>
        <w:snapToGrid w:val="0"/>
        <w:spacing w:line="240" w:lineRule="auto"/>
        <w:ind w:firstLine="561"/>
        <w:rPr>
          <w:rFonts w:hint="eastAsia"/>
          <w:sz w:val="18"/>
          <w:szCs w:val="18"/>
        </w:rPr>
      </w:pPr>
      <w:r>
        <w:rPr>
          <w:rFonts w:hint="eastAsia"/>
          <w:sz w:val="18"/>
          <w:szCs w:val="18"/>
        </w:rPr>
        <w:t>5.服务地方：百万以上项目6-8项，50万元以上项目20项，服务地方到帐经费2000万元</w:t>
      </w:r>
      <w:r>
        <w:rPr>
          <w:rFonts w:hint="eastAsia"/>
          <w:sz w:val="18"/>
          <w:szCs w:val="18"/>
          <w:lang w:eastAsia="zh-CN"/>
        </w:rPr>
        <w:t>，</w:t>
      </w:r>
      <w:r>
        <w:rPr>
          <w:rFonts w:hint="eastAsia"/>
          <w:sz w:val="18"/>
          <w:szCs w:val="18"/>
        </w:rPr>
        <w:t>继续教育毛收入</w:t>
      </w:r>
      <w:r>
        <w:rPr>
          <w:rFonts w:hint="eastAsia"/>
          <w:sz w:val="18"/>
          <w:szCs w:val="18"/>
          <w:lang w:eastAsia="zh-CN"/>
        </w:rPr>
        <w:t>在</w:t>
      </w:r>
      <w:r>
        <w:rPr>
          <w:rFonts w:hint="eastAsia"/>
          <w:sz w:val="18"/>
          <w:szCs w:val="18"/>
          <w:lang w:val="en-US" w:eastAsia="zh-CN"/>
        </w:rPr>
        <w:t>每年</w:t>
      </w:r>
      <w:r>
        <w:rPr>
          <w:rFonts w:hint="eastAsia"/>
          <w:sz w:val="18"/>
          <w:szCs w:val="18"/>
        </w:rPr>
        <w:t>900万</w:t>
      </w:r>
      <w:r>
        <w:rPr>
          <w:rFonts w:hint="eastAsia"/>
          <w:sz w:val="18"/>
          <w:szCs w:val="18"/>
          <w:lang w:val="en-US" w:eastAsia="zh-CN"/>
        </w:rPr>
        <w:t>元的</w:t>
      </w:r>
      <w:r>
        <w:rPr>
          <w:rFonts w:hint="eastAsia"/>
          <w:sz w:val="18"/>
          <w:szCs w:val="18"/>
          <w:lang w:eastAsia="zh-CN"/>
        </w:rPr>
        <w:t>基础上，逐年有所增长</w:t>
      </w:r>
      <w:r>
        <w:rPr>
          <w:rFonts w:hint="eastAsia"/>
          <w:sz w:val="18"/>
          <w:szCs w:val="18"/>
        </w:rPr>
        <w:t>。</w:t>
      </w:r>
    </w:p>
    <w:p>
      <w:pPr>
        <w:adjustRightInd w:val="0"/>
        <w:snapToGrid w:val="0"/>
        <w:spacing w:line="240" w:lineRule="auto"/>
        <w:ind w:firstLine="561"/>
        <w:rPr>
          <w:rFonts w:hint="eastAsia"/>
          <w:sz w:val="18"/>
          <w:szCs w:val="18"/>
        </w:rPr>
      </w:pPr>
      <w:r>
        <w:rPr>
          <w:rFonts w:hint="eastAsia"/>
          <w:sz w:val="18"/>
          <w:szCs w:val="18"/>
        </w:rPr>
        <w:t>6.党建及学生工作：获省级（A类）竞赛一等奖及以上奖项</w:t>
      </w:r>
      <w:r>
        <w:rPr>
          <w:rFonts w:hint="eastAsia"/>
          <w:sz w:val="18"/>
          <w:szCs w:val="18"/>
          <w:lang w:val="en-US" w:eastAsia="zh-CN"/>
        </w:rPr>
        <w:t>55</w:t>
      </w:r>
      <w:r>
        <w:rPr>
          <w:rFonts w:hint="eastAsia"/>
          <w:sz w:val="18"/>
          <w:szCs w:val="18"/>
        </w:rPr>
        <w:t>项</w:t>
      </w:r>
      <w:r>
        <w:rPr>
          <w:rFonts w:hint="eastAsia"/>
          <w:sz w:val="18"/>
          <w:szCs w:val="18"/>
          <w:lang w:eastAsia="zh-CN"/>
        </w:rPr>
        <w:t>以上</w:t>
      </w:r>
      <w:r>
        <w:rPr>
          <w:rFonts w:hint="eastAsia"/>
          <w:sz w:val="18"/>
          <w:szCs w:val="18"/>
        </w:rPr>
        <w:t>；本科生发表论文/获得专利</w:t>
      </w:r>
      <w:r>
        <w:rPr>
          <w:rFonts w:hint="eastAsia"/>
          <w:sz w:val="18"/>
          <w:szCs w:val="18"/>
          <w:lang w:val="en-US" w:eastAsia="zh-CN"/>
        </w:rPr>
        <w:t>200</w:t>
      </w:r>
      <w:r>
        <w:rPr>
          <w:rFonts w:hint="eastAsia"/>
          <w:sz w:val="18"/>
          <w:szCs w:val="18"/>
        </w:rPr>
        <w:t>篇（项）；研究生报考人</w:t>
      </w:r>
      <w:r>
        <w:rPr>
          <w:rFonts w:hint="eastAsia"/>
          <w:sz w:val="18"/>
          <w:szCs w:val="18"/>
          <w:lang w:eastAsia="zh-CN"/>
        </w:rPr>
        <w:t>数、</w:t>
      </w:r>
      <w:r>
        <w:rPr>
          <w:rFonts w:hint="eastAsia"/>
          <w:sz w:val="18"/>
          <w:szCs w:val="18"/>
        </w:rPr>
        <w:t>国内外读研人</w:t>
      </w:r>
      <w:r>
        <w:rPr>
          <w:rFonts w:hint="eastAsia"/>
          <w:sz w:val="18"/>
          <w:szCs w:val="18"/>
          <w:lang w:eastAsia="zh-CN"/>
        </w:rPr>
        <w:t>数逐年增长</w:t>
      </w:r>
      <w:r>
        <w:rPr>
          <w:rFonts w:hint="eastAsia"/>
          <w:sz w:val="18"/>
          <w:szCs w:val="18"/>
        </w:rPr>
        <w:t>；毕业生初次就业率、1年后就业率保持在95%以上，考编考研率比</w:t>
      </w:r>
      <w:r>
        <w:rPr>
          <w:rFonts w:hint="eastAsia"/>
          <w:sz w:val="18"/>
          <w:szCs w:val="18"/>
          <w:lang w:eastAsia="zh-CN"/>
        </w:rPr>
        <w:t>上一</w:t>
      </w:r>
      <w:r>
        <w:rPr>
          <w:rFonts w:hint="eastAsia"/>
          <w:sz w:val="18"/>
          <w:szCs w:val="18"/>
        </w:rPr>
        <w:t>年提高1%。</w:t>
      </w:r>
    </w:p>
    <w:p>
      <w:pPr>
        <w:adjustRightInd w:val="0"/>
        <w:snapToGrid w:val="0"/>
        <w:spacing w:line="240" w:lineRule="auto"/>
        <w:ind w:firstLine="561"/>
        <w:rPr>
          <w:rFonts w:hint="eastAsia"/>
          <w:sz w:val="28"/>
          <w:szCs w:val="28"/>
        </w:rPr>
      </w:pPr>
      <w:r>
        <w:rPr>
          <w:rFonts w:hint="eastAsia"/>
          <w:sz w:val="18"/>
          <w:szCs w:val="18"/>
        </w:rPr>
        <w:t>7.制度建设：2022年完善岗位聘任/考核办法，完成第四轮岗位聘任。修订年终分配办法、学科团队建设办法、教学团队建设办法、科研成果奖励办法、专著/教材资助办法</w:t>
      </w:r>
      <w:r>
        <w:rPr>
          <w:rFonts w:hint="eastAsia"/>
          <w:sz w:val="18"/>
          <w:szCs w:val="18"/>
          <w:lang w:eastAsia="zh-CN"/>
        </w:rPr>
        <w:t>、就业奖励管理办法</w:t>
      </w:r>
      <w:r>
        <w:rPr>
          <w:rFonts w:hint="eastAsia"/>
          <w:sz w:val="18"/>
          <w:szCs w:val="18"/>
        </w:rPr>
        <w:t>等。</w:t>
      </w:r>
      <w:bookmarkStart w:id="0" w:name="_GoBack"/>
      <w:bookmarkEnd w:id="0"/>
    </w:p>
    <w:sectPr>
      <w:pgSz w:w="16838" w:h="11906" w:orient="landscape"/>
      <w:pgMar w:top="1457" w:right="1440" w:bottom="1457" w:left="1440" w:header="851" w:footer="992" w:gutter="0"/>
      <w:paperSrc/>
      <w:cols w:space="0" w:num="1"/>
      <w:rtlGutter w:val="0"/>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8311616"/>
    </w:sdtPr>
    <w:sdtContent>
      <w:p>
        <w:pPr>
          <w:pStyle w:val="5"/>
          <w:jc w:val="center"/>
        </w:pPr>
        <w:r>
          <w:fldChar w:fldCharType="begin"/>
        </w:r>
        <w:r>
          <w:instrText xml:space="preserve">PAGE   \* MERGEFORMAT</w:instrText>
        </w:r>
        <w:r>
          <w:fldChar w:fldCharType="separate"/>
        </w:r>
        <w:r>
          <w:rPr>
            <w:lang w:val="zh-CN"/>
          </w:rPr>
          <w:t>11</w:t>
        </w:r>
        <w:r>
          <w:fldChar w:fldCharType="end"/>
        </w:r>
      </w:p>
    </w:sdtContent>
  </w:sdt>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7D9363"/>
    <w:multiLevelType w:val="singleLevel"/>
    <w:tmpl w:val="107D9363"/>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60"/>
  <w:displayHorizontalDrawingGridEvery w:val="1"/>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E56"/>
    <w:rsid w:val="0000113F"/>
    <w:rsid w:val="000270DB"/>
    <w:rsid w:val="00031E24"/>
    <w:rsid w:val="000621DF"/>
    <w:rsid w:val="00064497"/>
    <w:rsid w:val="00064E9A"/>
    <w:rsid w:val="00084254"/>
    <w:rsid w:val="000A0E53"/>
    <w:rsid w:val="000C2F6F"/>
    <w:rsid w:val="000F2DE0"/>
    <w:rsid w:val="000F6465"/>
    <w:rsid w:val="00110DC9"/>
    <w:rsid w:val="00116865"/>
    <w:rsid w:val="001613B5"/>
    <w:rsid w:val="001732D1"/>
    <w:rsid w:val="00190780"/>
    <w:rsid w:val="00197133"/>
    <w:rsid w:val="001A71BC"/>
    <w:rsid w:val="001B0988"/>
    <w:rsid w:val="001B45B6"/>
    <w:rsid w:val="001B705F"/>
    <w:rsid w:val="001C0189"/>
    <w:rsid w:val="001D3E56"/>
    <w:rsid w:val="001E7707"/>
    <w:rsid w:val="00204AC9"/>
    <w:rsid w:val="0021788F"/>
    <w:rsid w:val="00226D5B"/>
    <w:rsid w:val="00235F2D"/>
    <w:rsid w:val="00245B7B"/>
    <w:rsid w:val="0024780F"/>
    <w:rsid w:val="00273F9F"/>
    <w:rsid w:val="00292025"/>
    <w:rsid w:val="002C00DD"/>
    <w:rsid w:val="002E0063"/>
    <w:rsid w:val="002F293A"/>
    <w:rsid w:val="002F5B54"/>
    <w:rsid w:val="002F72E5"/>
    <w:rsid w:val="00314267"/>
    <w:rsid w:val="003150AD"/>
    <w:rsid w:val="003217C3"/>
    <w:rsid w:val="0032741C"/>
    <w:rsid w:val="00330A37"/>
    <w:rsid w:val="00332A32"/>
    <w:rsid w:val="00351299"/>
    <w:rsid w:val="003513B6"/>
    <w:rsid w:val="003554DA"/>
    <w:rsid w:val="00365DC3"/>
    <w:rsid w:val="00370AEE"/>
    <w:rsid w:val="00385C28"/>
    <w:rsid w:val="00397251"/>
    <w:rsid w:val="003A0354"/>
    <w:rsid w:val="003A565D"/>
    <w:rsid w:val="003D713D"/>
    <w:rsid w:val="003E7CF2"/>
    <w:rsid w:val="004060B4"/>
    <w:rsid w:val="00435C40"/>
    <w:rsid w:val="004529E8"/>
    <w:rsid w:val="00467C34"/>
    <w:rsid w:val="00472822"/>
    <w:rsid w:val="0048142A"/>
    <w:rsid w:val="004831E2"/>
    <w:rsid w:val="0049620C"/>
    <w:rsid w:val="004A150D"/>
    <w:rsid w:val="004A523D"/>
    <w:rsid w:val="004C1375"/>
    <w:rsid w:val="004D11ED"/>
    <w:rsid w:val="004F182A"/>
    <w:rsid w:val="00514679"/>
    <w:rsid w:val="00526741"/>
    <w:rsid w:val="00537578"/>
    <w:rsid w:val="005435A2"/>
    <w:rsid w:val="0058475E"/>
    <w:rsid w:val="00591D08"/>
    <w:rsid w:val="00591DD4"/>
    <w:rsid w:val="006311BD"/>
    <w:rsid w:val="00661EAD"/>
    <w:rsid w:val="006670CA"/>
    <w:rsid w:val="00680BC7"/>
    <w:rsid w:val="00687AD9"/>
    <w:rsid w:val="006921D4"/>
    <w:rsid w:val="006925DC"/>
    <w:rsid w:val="0069651F"/>
    <w:rsid w:val="00696933"/>
    <w:rsid w:val="006A6117"/>
    <w:rsid w:val="006C04C2"/>
    <w:rsid w:val="006C4F87"/>
    <w:rsid w:val="006D5F7B"/>
    <w:rsid w:val="006E7D85"/>
    <w:rsid w:val="00700326"/>
    <w:rsid w:val="00702B99"/>
    <w:rsid w:val="00704190"/>
    <w:rsid w:val="00710AAE"/>
    <w:rsid w:val="00722FF4"/>
    <w:rsid w:val="00730444"/>
    <w:rsid w:val="007451E1"/>
    <w:rsid w:val="00782ED0"/>
    <w:rsid w:val="00794B07"/>
    <w:rsid w:val="007A0F85"/>
    <w:rsid w:val="007A131F"/>
    <w:rsid w:val="007A2045"/>
    <w:rsid w:val="007A3488"/>
    <w:rsid w:val="007A3AE1"/>
    <w:rsid w:val="007B6FD8"/>
    <w:rsid w:val="007D3996"/>
    <w:rsid w:val="007E3983"/>
    <w:rsid w:val="007F1196"/>
    <w:rsid w:val="00817331"/>
    <w:rsid w:val="00825A1C"/>
    <w:rsid w:val="0086327D"/>
    <w:rsid w:val="008660ED"/>
    <w:rsid w:val="00881B11"/>
    <w:rsid w:val="008843E5"/>
    <w:rsid w:val="008939F6"/>
    <w:rsid w:val="008C485D"/>
    <w:rsid w:val="008C7507"/>
    <w:rsid w:val="009074DE"/>
    <w:rsid w:val="0091084E"/>
    <w:rsid w:val="0094237C"/>
    <w:rsid w:val="00946076"/>
    <w:rsid w:val="00955766"/>
    <w:rsid w:val="0095610A"/>
    <w:rsid w:val="009708C6"/>
    <w:rsid w:val="0098006E"/>
    <w:rsid w:val="009912B8"/>
    <w:rsid w:val="00993232"/>
    <w:rsid w:val="009A5184"/>
    <w:rsid w:val="009B1472"/>
    <w:rsid w:val="009B7761"/>
    <w:rsid w:val="009C2DFA"/>
    <w:rsid w:val="009D0C51"/>
    <w:rsid w:val="009D7338"/>
    <w:rsid w:val="009E060E"/>
    <w:rsid w:val="009E3B1A"/>
    <w:rsid w:val="00A00C6D"/>
    <w:rsid w:val="00A03158"/>
    <w:rsid w:val="00A04369"/>
    <w:rsid w:val="00A11FE2"/>
    <w:rsid w:val="00A474ED"/>
    <w:rsid w:val="00A62477"/>
    <w:rsid w:val="00A67577"/>
    <w:rsid w:val="00A75BFC"/>
    <w:rsid w:val="00A76924"/>
    <w:rsid w:val="00A9140B"/>
    <w:rsid w:val="00AE38B2"/>
    <w:rsid w:val="00B0399A"/>
    <w:rsid w:val="00B10EBC"/>
    <w:rsid w:val="00B17B80"/>
    <w:rsid w:val="00B2038F"/>
    <w:rsid w:val="00B549CB"/>
    <w:rsid w:val="00B6013E"/>
    <w:rsid w:val="00B61809"/>
    <w:rsid w:val="00B64BE3"/>
    <w:rsid w:val="00B70537"/>
    <w:rsid w:val="00B715A7"/>
    <w:rsid w:val="00B73F8C"/>
    <w:rsid w:val="00B7537A"/>
    <w:rsid w:val="00B80E83"/>
    <w:rsid w:val="00B80EC6"/>
    <w:rsid w:val="00B91843"/>
    <w:rsid w:val="00B942F1"/>
    <w:rsid w:val="00BA271B"/>
    <w:rsid w:val="00BC4518"/>
    <w:rsid w:val="00BC4C89"/>
    <w:rsid w:val="00BD21BB"/>
    <w:rsid w:val="00BD4C9F"/>
    <w:rsid w:val="00BE4DBE"/>
    <w:rsid w:val="00BF1125"/>
    <w:rsid w:val="00BF3F40"/>
    <w:rsid w:val="00BF429B"/>
    <w:rsid w:val="00C13C15"/>
    <w:rsid w:val="00C2220B"/>
    <w:rsid w:val="00C25979"/>
    <w:rsid w:val="00C46EAE"/>
    <w:rsid w:val="00C51F1C"/>
    <w:rsid w:val="00C56EDD"/>
    <w:rsid w:val="00C57E0C"/>
    <w:rsid w:val="00C650DC"/>
    <w:rsid w:val="00C752DC"/>
    <w:rsid w:val="00C9628E"/>
    <w:rsid w:val="00CA1B19"/>
    <w:rsid w:val="00CC17D6"/>
    <w:rsid w:val="00CC5781"/>
    <w:rsid w:val="00CD6562"/>
    <w:rsid w:val="00CE1BFB"/>
    <w:rsid w:val="00CF3A4E"/>
    <w:rsid w:val="00CF70D9"/>
    <w:rsid w:val="00D02797"/>
    <w:rsid w:val="00D05D9E"/>
    <w:rsid w:val="00D11865"/>
    <w:rsid w:val="00D163DD"/>
    <w:rsid w:val="00D34B6C"/>
    <w:rsid w:val="00D509D5"/>
    <w:rsid w:val="00D61C96"/>
    <w:rsid w:val="00DB303E"/>
    <w:rsid w:val="00DB3F61"/>
    <w:rsid w:val="00DC06A7"/>
    <w:rsid w:val="00DF06DE"/>
    <w:rsid w:val="00DF0B88"/>
    <w:rsid w:val="00DF4279"/>
    <w:rsid w:val="00E019BA"/>
    <w:rsid w:val="00E033A6"/>
    <w:rsid w:val="00E173B3"/>
    <w:rsid w:val="00E26DEA"/>
    <w:rsid w:val="00E308B0"/>
    <w:rsid w:val="00E6112E"/>
    <w:rsid w:val="00E6141E"/>
    <w:rsid w:val="00E710DB"/>
    <w:rsid w:val="00E723A1"/>
    <w:rsid w:val="00E8655D"/>
    <w:rsid w:val="00E96627"/>
    <w:rsid w:val="00EB23D9"/>
    <w:rsid w:val="00EB46F6"/>
    <w:rsid w:val="00EC7DE0"/>
    <w:rsid w:val="00ED7324"/>
    <w:rsid w:val="00EE4E1E"/>
    <w:rsid w:val="00EE6E2F"/>
    <w:rsid w:val="00EE761C"/>
    <w:rsid w:val="00EF0624"/>
    <w:rsid w:val="00F1619B"/>
    <w:rsid w:val="00F33BD6"/>
    <w:rsid w:val="00F356BB"/>
    <w:rsid w:val="00F4280B"/>
    <w:rsid w:val="00F8539A"/>
    <w:rsid w:val="00F92365"/>
    <w:rsid w:val="00FA1750"/>
    <w:rsid w:val="00FA51B2"/>
    <w:rsid w:val="00FB33C3"/>
    <w:rsid w:val="00FC73EF"/>
    <w:rsid w:val="00FD6AC0"/>
    <w:rsid w:val="00FE34B1"/>
    <w:rsid w:val="00FF6E50"/>
    <w:rsid w:val="01065115"/>
    <w:rsid w:val="02550094"/>
    <w:rsid w:val="029451B8"/>
    <w:rsid w:val="02BD44E5"/>
    <w:rsid w:val="02F673B4"/>
    <w:rsid w:val="02FD6370"/>
    <w:rsid w:val="03472A0C"/>
    <w:rsid w:val="035858EE"/>
    <w:rsid w:val="036C31A5"/>
    <w:rsid w:val="036D362B"/>
    <w:rsid w:val="037564E4"/>
    <w:rsid w:val="03917EC0"/>
    <w:rsid w:val="03962CFA"/>
    <w:rsid w:val="039D39FC"/>
    <w:rsid w:val="03D43943"/>
    <w:rsid w:val="03F05A1C"/>
    <w:rsid w:val="03FA1FA1"/>
    <w:rsid w:val="04F01E4D"/>
    <w:rsid w:val="050559AD"/>
    <w:rsid w:val="0578515F"/>
    <w:rsid w:val="05A82B6A"/>
    <w:rsid w:val="05BA4AF1"/>
    <w:rsid w:val="05BA79AB"/>
    <w:rsid w:val="05BB2F74"/>
    <w:rsid w:val="05C74499"/>
    <w:rsid w:val="05F9014E"/>
    <w:rsid w:val="06DD41E7"/>
    <w:rsid w:val="06DE353C"/>
    <w:rsid w:val="077B2E42"/>
    <w:rsid w:val="07DE2B8B"/>
    <w:rsid w:val="07E61E6E"/>
    <w:rsid w:val="07EF3C58"/>
    <w:rsid w:val="08175590"/>
    <w:rsid w:val="084E2C5A"/>
    <w:rsid w:val="08790047"/>
    <w:rsid w:val="08975461"/>
    <w:rsid w:val="08AA2EB9"/>
    <w:rsid w:val="08B75A67"/>
    <w:rsid w:val="0978220C"/>
    <w:rsid w:val="099742FE"/>
    <w:rsid w:val="0A117E18"/>
    <w:rsid w:val="0A3B61A2"/>
    <w:rsid w:val="0BFE5E64"/>
    <w:rsid w:val="0C0B546C"/>
    <w:rsid w:val="0C3E2A59"/>
    <w:rsid w:val="0C962CD6"/>
    <w:rsid w:val="0CD02BB3"/>
    <w:rsid w:val="0D1A6FC1"/>
    <w:rsid w:val="0F0621EE"/>
    <w:rsid w:val="0F322F4F"/>
    <w:rsid w:val="0F474B0C"/>
    <w:rsid w:val="0F5217F0"/>
    <w:rsid w:val="0F7341EA"/>
    <w:rsid w:val="0FAD70E0"/>
    <w:rsid w:val="100A14DF"/>
    <w:rsid w:val="1035618D"/>
    <w:rsid w:val="106015BF"/>
    <w:rsid w:val="10607279"/>
    <w:rsid w:val="10632196"/>
    <w:rsid w:val="108C33D1"/>
    <w:rsid w:val="10C57E08"/>
    <w:rsid w:val="10D36151"/>
    <w:rsid w:val="10DA2291"/>
    <w:rsid w:val="112A7BBC"/>
    <w:rsid w:val="11775660"/>
    <w:rsid w:val="117A3086"/>
    <w:rsid w:val="11B70357"/>
    <w:rsid w:val="11FB3F3A"/>
    <w:rsid w:val="12294F73"/>
    <w:rsid w:val="1243062E"/>
    <w:rsid w:val="12472800"/>
    <w:rsid w:val="12683699"/>
    <w:rsid w:val="12A667E3"/>
    <w:rsid w:val="12AD7994"/>
    <w:rsid w:val="12E87C57"/>
    <w:rsid w:val="130E507C"/>
    <w:rsid w:val="13A10D2A"/>
    <w:rsid w:val="14883E3C"/>
    <w:rsid w:val="14FC4D07"/>
    <w:rsid w:val="153146C4"/>
    <w:rsid w:val="155949B6"/>
    <w:rsid w:val="156374E8"/>
    <w:rsid w:val="157D3957"/>
    <w:rsid w:val="15F43992"/>
    <w:rsid w:val="15FD53D4"/>
    <w:rsid w:val="166F022E"/>
    <w:rsid w:val="16AA441F"/>
    <w:rsid w:val="16C160F7"/>
    <w:rsid w:val="16D00E98"/>
    <w:rsid w:val="16DA0FC2"/>
    <w:rsid w:val="16E02853"/>
    <w:rsid w:val="17307754"/>
    <w:rsid w:val="18004D02"/>
    <w:rsid w:val="181E006E"/>
    <w:rsid w:val="182669F0"/>
    <w:rsid w:val="182E1A05"/>
    <w:rsid w:val="185C296A"/>
    <w:rsid w:val="18DD06D9"/>
    <w:rsid w:val="195B6408"/>
    <w:rsid w:val="1A0A228A"/>
    <w:rsid w:val="1A344D48"/>
    <w:rsid w:val="1A634118"/>
    <w:rsid w:val="1A7B2286"/>
    <w:rsid w:val="1AE00D2B"/>
    <w:rsid w:val="1BBE7894"/>
    <w:rsid w:val="1BCF49CD"/>
    <w:rsid w:val="1BD97918"/>
    <w:rsid w:val="1C577718"/>
    <w:rsid w:val="1C74514B"/>
    <w:rsid w:val="1C804160"/>
    <w:rsid w:val="1C9B0580"/>
    <w:rsid w:val="1CBD1467"/>
    <w:rsid w:val="1D085F5C"/>
    <w:rsid w:val="1D1F0548"/>
    <w:rsid w:val="1D5367E1"/>
    <w:rsid w:val="1DC97449"/>
    <w:rsid w:val="1DD828FE"/>
    <w:rsid w:val="1E76609E"/>
    <w:rsid w:val="1E9C3701"/>
    <w:rsid w:val="1EB00A6F"/>
    <w:rsid w:val="1EB760FA"/>
    <w:rsid w:val="1F155DFB"/>
    <w:rsid w:val="1F5C0CB7"/>
    <w:rsid w:val="1F651B9D"/>
    <w:rsid w:val="1F681049"/>
    <w:rsid w:val="1F6E408D"/>
    <w:rsid w:val="1FD8568C"/>
    <w:rsid w:val="20265CCB"/>
    <w:rsid w:val="20522B80"/>
    <w:rsid w:val="20757A3D"/>
    <w:rsid w:val="21066035"/>
    <w:rsid w:val="21185884"/>
    <w:rsid w:val="212D507B"/>
    <w:rsid w:val="214629B5"/>
    <w:rsid w:val="215567DB"/>
    <w:rsid w:val="2158092B"/>
    <w:rsid w:val="221C06D4"/>
    <w:rsid w:val="2266670C"/>
    <w:rsid w:val="22A21104"/>
    <w:rsid w:val="23076649"/>
    <w:rsid w:val="23586E1D"/>
    <w:rsid w:val="23DA0C3D"/>
    <w:rsid w:val="23DC5CA3"/>
    <w:rsid w:val="241258CA"/>
    <w:rsid w:val="249825D0"/>
    <w:rsid w:val="2523163B"/>
    <w:rsid w:val="255D3257"/>
    <w:rsid w:val="25753420"/>
    <w:rsid w:val="265309DD"/>
    <w:rsid w:val="26AF56C7"/>
    <w:rsid w:val="26B02E1C"/>
    <w:rsid w:val="278C4331"/>
    <w:rsid w:val="2809088C"/>
    <w:rsid w:val="28541031"/>
    <w:rsid w:val="287C3BB6"/>
    <w:rsid w:val="28AA2B13"/>
    <w:rsid w:val="28AB7115"/>
    <w:rsid w:val="28C77BD8"/>
    <w:rsid w:val="28DE4701"/>
    <w:rsid w:val="29006793"/>
    <w:rsid w:val="291732AC"/>
    <w:rsid w:val="2940216F"/>
    <w:rsid w:val="2947400E"/>
    <w:rsid w:val="296A3C06"/>
    <w:rsid w:val="29971426"/>
    <w:rsid w:val="2A8D41CF"/>
    <w:rsid w:val="2AB83DA7"/>
    <w:rsid w:val="2AF42C8C"/>
    <w:rsid w:val="2B873364"/>
    <w:rsid w:val="2BD20233"/>
    <w:rsid w:val="2BDF6796"/>
    <w:rsid w:val="2C2A3387"/>
    <w:rsid w:val="2C945457"/>
    <w:rsid w:val="2C9E5C01"/>
    <w:rsid w:val="2D607372"/>
    <w:rsid w:val="2D7D417F"/>
    <w:rsid w:val="2D7E6836"/>
    <w:rsid w:val="2D810D32"/>
    <w:rsid w:val="2DB76C24"/>
    <w:rsid w:val="2DF82EA4"/>
    <w:rsid w:val="2E15704E"/>
    <w:rsid w:val="2E271E6F"/>
    <w:rsid w:val="2EC21808"/>
    <w:rsid w:val="2EC62D63"/>
    <w:rsid w:val="2EE62771"/>
    <w:rsid w:val="2F110208"/>
    <w:rsid w:val="2F1625E0"/>
    <w:rsid w:val="2F7A0339"/>
    <w:rsid w:val="2FC44081"/>
    <w:rsid w:val="30080909"/>
    <w:rsid w:val="30127846"/>
    <w:rsid w:val="301F28F9"/>
    <w:rsid w:val="30757080"/>
    <w:rsid w:val="308305E9"/>
    <w:rsid w:val="308847E3"/>
    <w:rsid w:val="30D5573B"/>
    <w:rsid w:val="30F84DDB"/>
    <w:rsid w:val="314E1B10"/>
    <w:rsid w:val="31AC0F84"/>
    <w:rsid w:val="32060298"/>
    <w:rsid w:val="32125226"/>
    <w:rsid w:val="322D3174"/>
    <w:rsid w:val="323C53D1"/>
    <w:rsid w:val="326526FB"/>
    <w:rsid w:val="32A81D84"/>
    <w:rsid w:val="32BA2BDA"/>
    <w:rsid w:val="32BC41ED"/>
    <w:rsid w:val="32DC25FD"/>
    <w:rsid w:val="32E24CAD"/>
    <w:rsid w:val="33012F73"/>
    <w:rsid w:val="338B67A1"/>
    <w:rsid w:val="339C3741"/>
    <w:rsid w:val="339D1D57"/>
    <w:rsid w:val="33AD4745"/>
    <w:rsid w:val="33EB78BD"/>
    <w:rsid w:val="33FA05DE"/>
    <w:rsid w:val="34253D9D"/>
    <w:rsid w:val="343F2FFD"/>
    <w:rsid w:val="34D14024"/>
    <w:rsid w:val="34E14A98"/>
    <w:rsid w:val="35706B35"/>
    <w:rsid w:val="359467A3"/>
    <w:rsid w:val="35A44E5E"/>
    <w:rsid w:val="368B51E7"/>
    <w:rsid w:val="36C41CA9"/>
    <w:rsid w:val="36E4120C"/>
    <w:rsid w:val="36F46C42"/>
    <w:rsid w:val="370E76DB"/>
    <w:rsid w:val="371D46A2"/>
    <w:rsid w:val="382C0C47"/>
    <w:rsid w:val="387E5900"/>
    <w:rsid w:val="38B4238E"/>
    <w:rsid w:val="38B6405F"/>
    <w:rsid w:val="392343E9"/>
    <w:rsid w:val="39D30775"/>
    <w:rsid w:val="39FE7554"/>
    <w:rsid w:val="3A0E144D"/>
    <w:rsid w:val="3B005F55"/>
    <w:rsid w:val="3B556BAF"/>
    <w:rsid w:val="3B830DBF"/>
    <w:rsid w:val="3BB33B9A"/>
    <w:rsid w:val="3BB97DF2"/>
    <w:rsid w:val="3C4E4C0D"/>
    <w:rsid w:val="3C9B5F4D"/>
    <w:rsid w:val="3CAC7974"/>
    <w:rsid w:val="3CAF4457"/>
    <w:rsid w:val="3CF840AB"/>
    <w:rsid w:val="3D2A71EC"/>
    <w:rsid w:val="3D664023"/>
    <w:rsid w:val="3D816715"/>
    <w:rsid w:val="3E457E62"/>
    <w:rsid w:val="3E84278A"/>
    <w:rsid w:val="3E901E79"/>
    <w:rsid w:val="3EC871F8"/>
    <w:rsid w:val="3ECC5AC9"/>
    <w:rsid w:val="3F350313"/>
    <w:rsid w:val="3F6A06DC"/>
    <w:rsid w:val="3F6D371F"/>
    <w:rsid w:val="3FA575AF"/>
    <w:rsid w:val="3FBB7D84"/>
    <w:rsid w:val="3FF23AAF"/>
    <w:rsid w:val="40E029AE"/>
    <w:rsid w:val="416919E0"/>
    <w:rsid w:val="41744563"/>
    <w:rsid w:val="42134E9F"/>
    <w:rsid w:val="422F2BF6"/>
    <w:rsid w:val="42F868C5"/>
    <w:rsid w:val="43707EF4"/>
    <w:rsid w:val="43A220CC"/>
    <w:rsid w:val="43AE16AF"/>
    <w:rsid w:val="443F4FEB"/>
    <w:rsid w:val="445A793A"/>
    <w:rsid w:val="45277917"/>
    <w:rsid w:val="452E3CF0"/>
    <w:rsid w:val="45C81AEB"/>
    <w:rsid w:val="462D5478"/>
    <w:rsid w:val="46E3098D"/>
    <w:rsid w:val="471E5048"/>
    <w:rsid w:val="47437E37"/>
    <w:rsid w:val="474D790F"/>
    <w:rsid w:val="475C7B2D"/>
    <w:rsid w:val="477F4050"/>
    <w:rsid w:val="47AB5B0E"/>
    <w:rsid w:val="47C45D1D"/>
    <w:rsid w:val="47EF3702"/>
    <w:rsid w:val="48136485"/>
    <w:rsid w:val="483C4D88"/>
    <w:rsid w:val="4855138D"/>
    <w:rsid w:val="48CE13B5"/>
    <w:rsid w:val="48FE3B26"/>
    <w:rsid w:val="490F378A"/>
    <w:rsid w:val="494865D2"/>
    <w:rsid w:val="495746A3"/>
    <w:rsid w:val="4A1C1526"/>
    <w:rsid w:val="4AA64A6B"/>
    <w:rsid w:val="4AE20A39"/>
    <w:rsid w:val="4AEB386B"/>
    <w:rsid w:val="4AF5547E"/>
    <w:rsid w:val="4B5B4167"/>
    <w:rsid w:val="4C6A4E57"/>
    <w:rsid w:val="4C8714B0"/>
    <w:rsid w:val="4CAA2869"/>
    <w:rsid w:val="4D3C39D2"/>
    <w:rsid w:val="4E73277C"/>
    <w:rsid w:val="4E8875E7"/>
    <w:rsid w:val="4EA54238"/>
    <w:rsid w:val="4EAB4828"/>
    <w:rsid w:val="4ED52590"/>
    <w:rsid w:val="4EE46F62"/>
    <w:rsid w:val="4EEA0D33"/>
    <w:rsid w:val="4F1D31D5"/>
    <w:rsid w:val="4F2277B8"/>
    <w:rsid w:val="4F547F97"/>
    <w:rsid w:val="5056368E"/>
    <w:rsid w:val="50674C19"/>
    <w:rsid w:val="50A4149A"/>
    <w:rsid w:val="512F7AB2"/>
    <w:rsid w:val="513A6F4B"/>
    <w:rsid w:val="5175656A"/>
    <w:rsid w:val="51AC63CE"/>
    <w:rsid w:val="51C16192"/>
    <w:rsid w:val="52D77EA4"/>
    <w:rsid w:val="53AD0D5A"/>
    <w:rsid w:val="53FE7F49"/>
    <w:rsid w:val="545825A3"/>
    <w:rsid w:val="548B3EEB"/>
    <w:rsid w:val="549911A5"/>
    <w:rsid w:val="54E50B7D"/>
    <w:rsid w:val="55204646"/>
    <w:rsid w:val="5526660F"/>
    <w:rsid w:val="552978FF"/>
    <w:rsid w:val="55667B83"/>
    <w:rsid w:val="55713358"/>
    <w:rsid w:val="559F4397"/>
    <w:rsid w:val="55B52A76"/>
    <w:rsid w:val="55BF6BC6"/>
    <w:rsid w:val="55E357FF"/>
    <w:rsid w:val="561629C3"/>
    <w:rsid w:val="561D706A"/>
    <w:rsid w:val="56282251"/>
    <w:rsid w:val="56396703"/>
    <w:rsid w:val="56E07F1D"/>
    <w:rsid w:val="57115B10"/>
    <w:rsid w:val="575A516F"/>
    <w:rsid w:val="57B36B20"/>
    <w:rsid w:val="57BB37DB"/>
    <w:rsid w:val="57EC6594"/>
    <w:rsid w:val="580D6287"/>
    <w:rsid w:val="5818072C"/>
    <w:rsid w:val="582B67F7"/>
    <w:rsid w:val="58732C45"/>
    <w:rsid w:val="58BD7A03"/>
    <w:rsid w:val="58E04F2A"/>
    <w:rsid w:val="58EC12F1"/>
    <w:rsid w:val="59042BDF"/>
    <w:rsid w:val="591775D0"/>
    <w:rsid w:val="595E0237"/>
    <w:rsid w:val="5A2D5312"/>
    <w:rsid w:val="5A86196C"/>
    <w:rsid w:val="5AF00411"/>
    <w:rsid w:val="5B6D185E"/>
    <w:rsid w:val="5B924150"/>
    <w:rsid w:val="5BE75BA2"/>
    <w:rsid w:val="5BF744FF"/>
    <w:rsid w:val="5C2072FE"/>
    <w:rsid w:val="5C6B384D"/>
    <w:rsid w:val="5CA045BE"/>
    <w:rsid w:val="5CB12EF0"/>
    <w:rsid w:val="5CB4220A"/>
    <w:rsid w:val="5CBF7866"/>
    <w:rsid w:val="5CF23FB0"/>
    <w:rsid w:val="5CFD09C5"/>
    <w:rsid w:val="5E1222DF"/>
    <w:rsid w:val="5EF25C65"/>
    <w:rsid w:val="5FA84114"/>
    <w:rsid w:val="5FB64156"/>
    <w:rsid w:val="5FFA60CE"/>
    <w:rsid w:val="600B1E70"/>
    <w:rsid w:val="60506C7C"/>
    <w:rsid w:val="608D6368"/>
    <w:rsid w:val="60D44171"/>
    <w:rsid w:val="61664ED2"/>
    <w:rsid w:val="61993338"/>
    <w:rsid w:val="61A34B59"/>
    <w:rsid w:val="61B90804"/>
    <w:rsid w:val="62E65C8A"/>
    <w:rsid w:val="6331333D"/>
    <w:rsid w:val="63936F21"/>
    <w:rsid w:val="639450C3"/>
    <w:rsid w:val="63A36506"/>
    <w:rsid w:val="63D77282"/>
    <w:rsid w:val="647D49E5"/>
    <w:rsid w:val="6547398E"/>
    <w:rsid w:val="659316CB"/>
    <w:rsid w:val="659454CC"/>
    <w:rsid w:val="65C756F5"/>
    <w:rsid w:val="65DB01AE"/>
    <w:rsid w:val="65F93230"/>
    <w:rsid w:val="664A7B65"/>
    <w:rsid w:val="6681353C"/>
    <w:rsid w:val="67012317"/>
    <w:rsid w:val="67775C56"/>
    <w:rsid w:val="68863B1D"/>
    <w:rsid w:val="68D12ACA"/>
    <w:rsid w:val="69A039D5"/>
    <w:rsid w:val="69C1227A"/>
    <w:rsid w:val="6A3A1A07"/>
    <w:rsid w:val="6A65256A"/>
    <w:rsid w:val="6A8E7BF3"/>
    <w:rsid w:val="6AAD4F36"/>
    <w:rsid w:val="6AE93CB4"/>
    <w:rsid w:val="6B284508"/>
    <w:rsid w:val="6B4327BC"/>
    <w:rsid w:val="6B440A73"/>
    <w:rsid w:val="6B6A26C6"/>
    <w:rsid w:val="6BD01319"/>
    <w:rsid w:val="6BF31BC5"/>
    <w:rsid w:val="6BF65491"/>
    <w:rsid w:val="6C06178B"/>
    <w:rsid w:val="6C112BF8"/>
    <w:rsid w:val="6C320E6F"/>
    <w:rsid w:val="6C3572B4"/>
    <w:rsid w:val="6C73307F"/>
    <w:rsid w:val="6CD533AC"/>
    <w:rsid w:val="6D23196B"/>
    <w:rsid w:val="6DEF6381"/>
    <w:rsid w:val="6DF222AE"/>
    <w:rsid w:val="6E4111A6"/>
    <w:rsid w:val="6E6B0A59"/>
    <w:rsid w:val="6EBC0710"/>
    <w:rsid w:val="6F1F030F"/>
    <w:rsid w:val="6F6378BC"/>
    <w:rsid w:val="6F70285A"/>
    <w:rsid w:val="70966BD6"/>
    <w:rsid w:val="70DD6C03"/>
    <w:rsid w:val="70E13F39"/>
    <w:rsid w:val="71703DF6"/>
    <w:rsid w:val="71BC0C0C"/>
    <w:rsid w:val="71D04DCD"/>
    <w:rsid w:val="7221309B"/>
    <w:rsid w:val="7258321E"/>
    <w:rsid w:val="725F7B7D"/>
    <w:rsid w:val="7262087A"/>
    <w:rsid w:val="72921EBA"/>
    <w:rsid w:val="72CF3D06"/>
    <w:rsid w:val="72D863B3"/>
    <w:rsid w:val="72EC3F1C"/>
    <w:rsid w:val="736128CE"/>
    <w:rsid w:val="74542E99"/>
    <w:rsid w:val="747601DD"/>
    <w:rsid w:val="7487588D"/>
    <w:rsid w:val="74A71BCF"/>
    <w:rsid w:val="74BF0385"/>
    <w:rsid w:val="74D60B04"/>
    <w:rsid w:val="75604F8A"/>
    <w:rsid w:val="7561462A"/>
    <w:rsid w:val="75710982"/>
    <w:rsid w:val="75AF2AAE"/>
    <w:rsid w:val="75EE55F4"/>
    <w:rsid w:val="76380B13"/>
    <w:rsid w:val="76732612"/>
    <w:rsid w:val="769D734F"/>
    <w:rsid w:val="77102181"/>
    <w:rsid w:val="77515103"/>
    <w:rsid w:val="776034F3"/>
    <w:rsid w:val="77756526"/>
    <w:rsid w:val="779F2AE1"/>
    <w:rsid w:val="77E10AE9"/>
    <w:rsid w:val="78344A3B"/>
    <w:rsid w:val="78567ECD"/>
    <w:rsid w:val="78E0181D"/>
    <w:rsid w:val="78E428F0"/>
    <w:rsid w:val="79107BC9"/>
    <w:rsid w:val="79587817"/>
    <w:rsid w:val="798C197C"/>
    <w:rsid w:val="79915C3E"/>
    <w:rsid w:val="79DF7E4E"/>
    <w:rsid w:val="79E33106"/>
    <w:rsid w:val="7A144846"/>
    <w:rsid w:val="7A2F5CF8"/>
    <w:rsid w:val="7A445548"/>
    <w:rsid w:val="7A4C74ED"/>
    <w:rsid w:val="7A6D2B66"/>
    <w:rsid w:val="7A8B3B11"/>
    <w:rsid w:val="7AE80873"/>
    <w:rsid w:val="7B366175"/>
    <w:rsid w:val="7B37324B"/>
    <w:rsid w:val="7B536FF6"/>
    <w:rsid w:val="7B57152D"/>
    <w:rsid w:val="7B7E0986"/>
    <w:rsid w:val="7BB51E1E"/>
    <w:rsid w:val="7C497EDD"/>
    <w:rsid w:val="7C4E1E82"/>
    <w:rsid w:val="7CC3042F"/>
    <w:rsid w:val="7D0B61CF"/>
    <w:rsid w:val="7D3D7702"/>
    <w:rsid w:val="7D96683B"/>
    <w:rsid w:val="7E051F1F"/>
    <w:rsid w:val="7EDB4E44"/>
    <w:rsid w:val="7EEB141C"/>
    <w:rsid w:val="7F15427E"/>
    <w:rsid w:val="7F386F35"/>
    <w:rsid w:val="7F3C4EA3"/>
    <w:rsid w:val="7F953678"/>
    <w:rsid w:val="7FB51F4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kern w:val="44"/>
      <w:sz w:val="48"/>
      <w:szCs w:val="4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pPr>
      <w:jc w:val="left"/>
    </w:pPr>
  </w:style>
  <w:style w:type="paragraph" w:styleId="4">
    <w:name w:val="Balloon Text"/>
    <w:basedOn w:val="1"/>
    <w:link w:val="14"/>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rPr>
      <w:sz w:val="24"/>
    </w:rPr>
  </w:style>
  <w:style w:type="table" w:styleId="9">
    <w:name w:val="Table Grid"/>
    <w:basedOn w:val="8"/>
    <w:qFormat/>
    <w:uiPriority w:val="59"/>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Emphasis"/>
    <w:basedOn w:val="10"/>
    <w:qFormat/>
    <w:uiPriority w:val="20"/>
    <w:rPr>
      <w:i/>
    </w:rPr>
  </w:style>
  <w:style w:type="character" w:styleId="12">
    <w:name w:val="annotation reference"/>
    <w:basedOn w:val="10"/>
    <w:semiHidden/>
    <w:unhideWhenUsed/>
    <w:qFormat/>
    <w:uiPriority w:val="99"/>
    <w:rPr>
      <w:sz w:val="21"/>
      <w:szCs w:val="21"/>
    </w:rPr>
  </w:style>
  <w:style w:type="paragraph" w:customStyle="1" w:styleId="13">
    <w:name w:val="列出段落1"/>
    <w:basedOn w:val="1"/>
    <w:qFormat/>
    <w:uiPriority w:val="34"/>
    <w:pPr>
      <w:ind w:firstLine="420" w:firstLineChars="200"/>
    </w:pPr>
  </w:style>
  <w:style w:type="character" w:customStyle="1" w:styleId="14">
    <w:name w:val="批注框文本 Char"/>
    <w:basedOn w:val="10"/>
    <w:link w:val="4"/>
    <w:semiHidden/>
    <w:qFormat/>
    <w:uiPriority w:val="99"/>
    <w:rPr>
      <w:rFonts w:asciiTheme="minorHAnsi" w:hAnsiTheme="minorHAnsi" w:eastAsiaTheme="minorEastAsia" w:cstheme="minorBidi"/>
      <w:kern w:val="2"/>
      <w:sz w:val="18"/>
      <w:szCs w:val="18"/>
    </w:rPr>
  </w:style>
  <w:style w:type="character" w:customStyle="1" w:styleId="15">
    <w:name w:val="页眉 Char"/>
    <w:basedOn w:val="10"/>
    <w:link w:val="6"/>
    <w:qFormat/>
    <w:uiPriority w:val="99"/>
    <w:rPr>
      <w:rFonts w:asciiTheme="minorHAnsi" w:hAnsiTheme="minorHAnsi" w:eastAsiaTheme="minorEastAsia" w:cstheme="minorBidi"/>
      <w:kern w:val="2"/>
      <w:sz w:val="18"/>
      <w:szCs w:val="18"/>
    </w:rPr>
  </w:style>
  <w:style w:type="character" w:customStyle="1" w:styleId="16">
    <w:name w:val="页脚 Char"/>
    <w:basedOn w:val="10"/>
    <w:link w:val="5"/>
    <w:qFormat/>
    <w:uiPriority w:val="99"/>
    <w:rPr>
      <w:rFonts w:asciiTheme="minorHAnsi" w:hAnsiTheme="minorHAnsi" w:eastAsiaTheme="minorEastAsia" w:cstheme="minorBidi"/>
      <w:kern w:val="2"/>
      <w:sz w:val="18"/>
      <w:szCs w:val="18"/>
    </w:rPr>
  </w:style>
  <w:style w:type="paragraph" w:styleId="1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48DC64-9A3A-4630-A77E-96CAA48E78F3}">
  <ds:schemaRefs/>
</ds:datastoreItem>
</file>

<file path=docProps/app.xml><?xml version="1.0" encoding="utf-8"?>
<Properties xmlns="http://schemas.openxmlformats.org/officeDocument/2006/extended-properties" xmlns:vt="http://schemas.openxmlformats.org/officeDocument/2006/docPropsVTypes">
  <Template>Normal</Template>
  <Company>Gskening</Company>
  <Pages>13</Pages>
  <Words>7907</Words>
  <Characters>823</Characters>
  <Lines>6</Lines>
  <Paragraphs>17</Paragraphs>
  <TotalTime>1</TotalTime>
  <ScaleCrop>false</ScaleCrop>
  <LinksUpToDate>false</LinksUpToDate>
  <CharactersWithSpaces>8713</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2021-10-09T01:15:00Z</dcterms:created>
  <dc:creator>User</dc:creator>
  <cp:lastModifiedBy>猪小成</cp:lastModifiedBy>
  <cp:lastPrinted>2022-03-21T03:25:00Z</cp:lastPrinted>
  <dcterms:modified xsi:type="dcterms:W3CDTF">2022-05-26T00:20:25Z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80E60FD6A7CD41A4B58E72C257C0E168</vt:lpwstr>
  </property>
</Properties>
</file>