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方正小标宋简体" w:eastAsia="方正小标宋简体" w:cs="方正小标宋简体"/>
          <w:b/>
          <w:bCs/>
          <w:sz w:val="44"/>
          <w:szCs w:val="44"/>
        </w:rPr>
      </w:pPr>
      <w:r>
        <w:rPr>
          <w:rFonts w:hint="eastAsia" w:ascii="方正小标宋简体" w:hAnsi="方正小标宋简体" w:eastAsia="方正小标宋简体" w:cs="方正小标宋简体"/>
          <w:b/>
          <w:bCs/>
          <w:sz w:val="44"/>
          <w:szCs w:val="44"/>
        </w:rPr>
        <w:t>生命科学学院“十四五”发展规划</w:t>
      </w:r>
    </w:p>
    <w:p>
      <w:pPr>
        <w:keepNext w:val="0"/>
        <w:keepLines w:val="0"/>
        <w:pageBreakBefore w:val="0"/>
        <w:widowControl w:val="0"/>
        <w:kinsoku/>
        <w:wordWrap/>
        <w:overflowPunct/>
        <w:topLinePunct w:val="0"/>
        <w:autoSpaceDE/>
        <w:autoSpaceDN/>
        <w:bidi w:val="0"/>
        <w:adjustRightInd/>
        <w:spacing w:line="490" w:lineRule="exact"/>
        <w:textAlignment w:val="auto"/>
      </w:pP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“十四五”是学校全面深化教育教学改革，全力提升办学内涵水平，向着建成“在国内有一定影响、一定水平、一定地位”的湖州师范大学目标迈进的关键阶段。为贯彻</w:t>
      </w:r>
      <w:bookmarkStart w:id="0" w:name="_GoBack"/>
      <w:bookmarkEnd w:id="0"/>
      <w:r>
        <w:rPr>
          <w:rFonts w:hint="eastAsia" w:ascii="仿宋" w:hAnsi="仿宋" w:eastAsia="仿宋" w:cs="仿宋"/>
          <w:sz w:val="32"/>
          <w:szCs w:val="32"/>
        </w:rPr>
        <w:t>落实学校第四次党代会精神，学院拟在提高学科建设水平和人才培养质量，打造学院文化品牌上不断努力，借以提高学院的整体办学实力，特此，结合本院实际，制定本发展规划。</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rPr>
        <w:t>一、“十三五”工作发展成绩</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“十三五”期间，学院紧紧围绕学校发展目标，在学院党委和行政的正确领导下，在全院教师的共同努力下，学院在人才培养、学科建设、科学研究</w:t>
      </w:r>
      <w:r>
        <w:rPr>
          <w:rFonts w:hint="eastAsia" w:ascii="仿宋" w:hAnsi="仿宋" w:eastAsia="仿宋" w:cs="仿宋"/>
          <w:sz w:val="32"/>
          <w:szCs w:val="32"/>
          <w:lang w:eastAsia="zh-CN"/>
        </w:rPr>
        <w:t>、</w:t>
      </w:r>
      <w:r>
        <w:rPr>
          <w:rFonts w:hint="eastAsia" w:ascii="仿宋" w:hAnsi="仿宋" w:eastAsia="仿宋" w:cs="仿宋"/>
          <w:sz w:val="32"/>
          <w:szCs w:val="32"/>
        </w:rPr>
        <w:t>党的建设</w:t>
      </w:r>
      <w:r>
        <w:rPr>
          <w:rFonts w:hint="eastAsia" w:ascii="仿宋" w:hAnsi="仿宋" w:eastAsia="仿宋" w:cs="仿宋"/>
          <w:sz w:val="32"/>
          <w:szCs w:val="32"/>
          <w:lang w:eastAsia="zh-CN"/>
        </w:rPr>
        <w:t>和服务地方</w:t>
      </w:r>
      <w:r>
        <w:rPr>
          <w:rFonts w:hint="eastAsia" w:ascii="仿宋" w:hAnsi="仿宋" w:eastAsia="仿宋" w:cs="仿宋"/>
          <w:sz w:val="32"/>
          <w:szCs w:val="32"/>
        </w:rPr>
        <w:t>等方面取得了长足的进步。</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(一）人才培养成果丰硕。</w:t>
      </w:r>
      <w:r>
        <w:rPr>
          <w:rFonts w:hint="eastAsia" w:ascii="仿宋" w:hAnsi="仿宋" w:eastAsia="仿宋" w:cs="仿宋"/>
          <w:sz w:val="32"/>
          <w:szCs w:val="32"/>
        </w:rPr>
        <w:t>学院现有5个专业，2020年新增生物科学（师范）专业，其中水产养殖为省一流专业、省新兴特色专业；省级一流本科课程1门，省级精品课程3门，省教改项目7项；获国家级大学生创新创业训练计划项目18项、国家级学科竞赛项目28项、省级学科竞赛项目72项；学生在省级及以上刊物上发表论文26篇；学生考研报考和考取率均逐年升高，其中考研录取率每年均在20%以上，毕业生就业率95%以上，并获就业先进集体4次。</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（二）学科建设成果突出。</w:t>
      </w:r>
      <w:r>
        <w:rPr>
          <w:rFonts w:hint="eastAsia" w:ascii="仿宋" w:hAnsi="仿宋" w:eastAsia="仿宋" w:cs="仿宋"/>
          <w:sz w:val="32"/>
          <w:szCs w:val="32"/>
        </w:rPr>
        <w:t>新增水产一级学科硕士点、水产养殖学省一流学科和生态学市重点学科。实验室平台建设方面，成功获批水生生物与环境研究国际联合实验室、水生动物繁育与营养国家地方联合工程实验室、国家水产种质资源平台南太湖保存基地等3个国家级平台，以及获批浙江省水生生物资源养护与开发技术研究重点实验室等7个省级平台。学科结构不断优化，基本形成以水产为主</w:t>
      </w:r>
      <w:r>
        <w:rPr>
          <w:rFonts w:hint="eastAsia" w:ascii="仿宋" w:hAnsi="仿宋" w:eastAsia="仿宋" w:cs="仿宋"/>
          <w:sz w:val="32"/>
          <w:szCs w:val="32"/>
          <w:lang w:eastAsia="zh-CN"/>
        </w:rPr>
        <w:t>，</w:t>
      </w:r>
      <w:r>
        <w:rPr>
          <w:rFonts w:hint="eastAsia" w:ascii="仿宋" w:hAnsi="仿宋" w:eastAsia="仿宋" w:cs="仿宋"/>
          <w:sz w:val="32"/>
          <w:szCs w:val="32"/>
        </w:rPr>
        <w:t>生态学</w:t>
      </w:r>
      <w:r>
        <w:rPr>
          <w:rFonts w:hint="eastAsia" w:ascii="仿宋" w:hAnsi="仿宋" w:eastAsia="仿宋" w:cs="仿宋"/>
          <w:sz w:val="32"/>
          <w:szCs w:val="32"/>
          <w:lang w:eastAsia="zh-CN"/>
        </w:rPr>
        <w:t>、</w:t>
      </w:r>
      <w:r>
        <w:rPr>
          <w:rFonts w:hint="eastAsia" w:ascii="仿宋" w:hAnsi="仿宋" w:eastAsia="仿宋" w:cs="仿宋"/>
          <w:sz w:val="32"/>
          <w:szCs w:val="32"/>
        </w:rPr>
        <w:t>药学</w:t>
      </w:r>
      <w:r>
        <w:rPr>
          <w:rFonts w:hint="eastAsia" w:ascii="仿宋" w:hAnsi="仿宋" w:eastAsia="仿宋" w:cs="仿宋"/>
          <w:sz w:val="32"/>
          <w:szCs w:val="32"/>
          <w:lang w:val="en-US" w:eastAsia="zh-CN"/>
        </w:rPr>
        <w:t>协同</w:t>
      </w:r>
      <w:r>
        <w:rPr>
          <w:rFonts w:hint="eastAsia" w:ascii="仿宋" w:hAnsi="仿宋" w:eastAsia="仿宋" w:cs="仿宋"/>
          <w:sz w:val="32"/>
          <w:szCs w:val="32"/>
        </w:rPr>
        <w:t>发展的格局。</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（三）科学研究成果显著。</w:t>
      </w:r>
      <w:r>
        <w:rPr>
          <w:rFonts w:hint="eastAsia" w:ascii="仿宋" w:hAnsi="仿宋" w:eastAsia="仿宋" w:cs="仿宋"/>
          <w:sz w:val="32"/>
          <w:szCs w:val="32"/>
        </w:rPr>
        <w:t>学院教师获省科学技术进步奖5项，省自然科学奖1项；获批国家级科技项目13项、省部级项目36项；在一级核心及SCI、或EI收录期刊发表研究论文112篇，获国家发明专利20项；新增百万元以上横向项目4项</w:t>
      </w:r>
      <w:r>
        <w:rPr>
          <w:rFonts w:hint="eastAsia" w:ascii="仿宋" w:hAnsi="仿宋" w:eastAsia="仿宋" w:cs="仿宋"/>
          <w:sz w:val="32"/>
          <w:szCs w:val="32"/>
          <w:lang w:eastAsia="zh-CN"/>
        </w:rPr>
        <w:t>，</w:t>
      </w:r>
      <w:r>
        <w:rPr>
          <w:rFonts w:hint="eastAsia" w:ascii="仿宋" w:hAnsi="仿宋" w:eastAsia="仿宋" w:cs="仿宋"/>
          <w:sz w:val="32"/>
          <w:szCs w:val="32"/>
        </w:rPr>
        <w:t>河北省邢台市签订技术服务项目10个，并与邢台学院建立了紧密的战略合作关系。</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sz w:val="32"/>
          <w:szCs w:val="32"/>
        </w:rPr>
      </w:pPr>
      <w:r>
        <w:rPr>
          <w:rFonts w:hint="eastAsia" w:ascii="仿宋" w:hAnsi="仿宋" w:eastAsia="仿宋" w:cs="仿宋"/>
          <w:b/>
          <w:bCs/>
          <w:sz w:val="32"/>
          <w:szCs w:val="32"/>
        </w:rPr>
        <w:t>（四）师资队伍建设成果显现。</w:t>
      </w:r>
      <w:r>
        <w:rPr>
          <w:rFonts w:hint="eastAsia" w:ascii="仿宋" w:hAnsi="仿宋" w:eastAsia="仿宋" w:cs="仿宋"/>
          <w:sz w:val="32"/>
          <w:szCs w:val="32"/>
        </w:rPr>
        <w:t>学院现有教职工95人，专任教师数为73人，其中正高职称15人，博士63人</w:t>
      </w:r>
      <w:r>
        <w:rPr>
          <w:rFonts w:hint="eastAsia" w:ascii="仿宋" w:hAnsi="仿宋" w:eastAsia="仿宋" w:cs="仿宋"/>
          <w:b w:val="0"/>
          <w:bCs/>
          <w:color w:val="auto"/>
          <w:sz w:val="32"/>
          <w:szCs w:val="32"/>
        </w:rPr>
        <w:t>。</w:t>
      </w:r>
      <w:r>
        <w:rPr>
          <w:rFonts w:hint="eastAsia" w:ascii="仿宋" w:hAnsi="仿宋" w:eastAsia="仿宋" w:cs="仿宋"/>
          <w:sz w:val="32"/>
          <w:szCs w:val="32"/>
        </w:rPr>
        <w:t>引进优秀博士及以上人才24人，高层次人才3人，省级以上学科带头人、方向负责人3人，以及“名誉教授”、“客座教授”、外籍文教专家3人；新增国家大宗淡水鱼和虾蟹产业技术体系岗位科学家2人、国务院特殊津贴1人、共享院士2人、国家级领军人才1人，浙江省“千人计划”1人、“151人才工程”第一层次1 人、第三层次4人，浙江省高校中青年学科带头人2人，浙江省高校领军人才计划1人。湖州市“1112人才工程”6人，“浙北英才”A类计划培养人选4人，“南太湖本土高层人才特殊支持计划”人才3人，校“陆增镛”教师奖获得者4人。</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（五）党建成果明显。</w:t>
      </w:r>
      <w:r>
        <w:rPr>
          <w:rFonts w:hint="eastAsia" w:ascii="仿宋" w:hAnsi="仿宋" w:eastAsia="仿宋" w:cs="仿宋"/>
          <w:sz w:val="32"/>
          <w:szCs w:val="32"/>
        </w:rPr>
        <w:t>学院高度重视党建和思想政治工作，院党委现由4个教工党支部和5个学生党支部组成，教工党员68名，党员人数占教职工总数的73%；</w:t>
      </w:r>
      <w:r>
        <w:rPr>
          <w:rFonts w:hint="eastAsia" w:ascii="仿宋" w:hAnsi="仿宋" w:eastAsia="仿宋" w:cs="仿宋"/>
          <w:sz w:val="32"/>
          <w:szCs w:val="32"/>
          <w:lang w:val="en-US" w:eastAsia="zh-CN"/>
        </w:rPr>
        <w:t>2</w:t>
      </w:r>
      <w:r>
        <w:rPr>
          <w:rFonts w:hint="eastAsia" w:ascii="仿宋" w:hAnsi="仿宋" w:eastAsia="仿宋" w:cs="仿宋"/>
          <w:sz w:val="32"/>
          <w:szCs w:val="32"/>
        </w:rPr>
        <w:t>个支部获校先进基层党组织，1个支部获支部创新奖；新增2个党建特色品牌。1位教工党支部书记获省担当作为好支书；药学系教工党支部入选第二批高校“双带头人”教师党支部书记工作室。</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3" w:firstLineChars="200"/>
        <w:textAlignment w:val="auto"/>
        <w:rPr>
          <w:rFonts w:hint="eastAsia" w:ascii="仿宋" w:hAnsi="仿宋" w:eastAsia="仿宋" w:cs="仿宋"/>
          <w:b w:val="0"/>
          <w:bCs w:val="0"/>
          <w:sz w:val="32"/>
          <w:szCs w:val="32"/>
          <w:lang w:eastAsia="zh-CN"/>
        </w:rPr>
      </w:pPr>
      <w:r>
        <w:rPr>
          <w:rFonts w:hint="eastAsia" w:ascii="仿宋" w:hAnsi="仿宋" w:eastAsia="仿宋" w:cs="仿宋"/>
          <w:b/>
          <w:bCs/>
          <w:sz w:val="32"/>
          <w:szCs w:val="32"/>
          <w:lang w:eastAsia="zh-CN"/>
        </w:rPr>
        <w:t>（六）服务地方成果凸显。</w:t>
      </w:r>
      <w:r>
        <w:rPr>
          <w:rFonts w:hint="eastAsia" w:ascii="仿宋" w:hAnsi="仿宋" w:eastAsia="仿宋" w:cs="仿宋"/>
          <w:b w:val="0"/>
          <w:bCs w:val="0"/>
          <w:sz w:val="32"/>
          <w:szCs w:val="32"/>
          <w:lang w:eastAsia="zh-CN"/>
        </w:rPr>
        <w:t>发挥学院学科、平台和人才优势，密切联系企业，完成市地校合作项目数近</w:t>
      </w:r>
      <w:r>
        <w:rPr>
          <w:rFonts w:hint="eastAsia" w:ascii="仿宋" w:hAnsi="仿宋" w:eastAsia="仿宋" w:cs="仿宋"/>
          <w:b w:val="0"/>
          <w:bCs w:val="0"/>
          <w:sz w:val="32"/>
          <w:szCs w:val="32"/>
          <w:lang w:val="en-US" w:eastAsia="zh-CN"/>
        </w:rPr>
        <w:t>70</w:t>
      </w:r>
      <w:r>
        <w:rPr>
          <w:rFonts w:hint="eastAsia" w:ascii="仿宋" w:hAnsi="仿宋" w:eastAsia="仿宋" w:cs="仿宋"/>
          <w:b w:val="0"/>
          <w:bCs w:val="0"/>
          <w:sz w:val="32"/>
          <w:szCs w:val="32"/>
          <w:lang w:eastAsia="zh-CN"/>
        </w:rPr>
        <w:t>个，累计横向合作经费1101.125万元。充分发挥在淡水养殖研发领域的技术优势，杨国梁创办的江苏数丰水产种业有限公司已经成为国内资源最丰富的罗氏沼虾遗传育种中心，解决了当地缺罗氏沼虾种源难题；与邢台市共建节水型加州鲈鱼高效设施育苗与养殖一体化项目，签订技术服务项目7个，与邢台学院建立了紧密型战略合作。借助湖州市“双进双强”，联合浙江东裕生物科技有限公司等开展淡水鱼类饲料和绿色养殖技术方面的服务工作。</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rPr>
        <w:t>二、</w:t>
      </w:r>
      <w:r>
        <w:rPr>
          <w:rFonts w:hint="eastAsia" w:ascii="黑体" w:hAnsi="黑体" w:eastAsia="黑体" w:cs="黑体"/>
          <w:sz w:val="32"/>
          <w:szCs w:val="32"/>
          <w:lang w:eastAsia="zh-CN"/>
        </w:rPr>
        <w:t>“十三五”存在的不足</w:t>
      </w:r>
    </w:p>
    <w:p>
      <w:pPr>
        <w:keepNext w:val="0"/>
        <w:keepLines w:val="0"/>
        <w:pageBreakBefore w:val="0"/>
        <w:widowControl w:val="0"/>
        <w:kinsoku/>
        <w:wordWrap/>
        <w:overflowPunct/>
        <w:topLinePunct w:val="0"/>
        <w:autoSpaceDE/>
        <w:autoSpaceDN/>
        <w:bidi w:val="0"/>
        <w:adjustRightInd/>
        <w:snapToGrid/>
        <w:spacing w:line="490" w:lineRule="exact"/>
        <w:ind w:firstLine="643" w:firstLineChars="200"/>
        <w:textAlignment w:val="auto"/>
        <w:rPr>
          <w:rFonts w:hint="default" w:ascii="仿宋" w:hAnsi="仿宋" w:eastAsia="仿宋" w:cs="仿宋"/>
          <w:b w:val="0"/>
          <w:bCs w:val="0"/>
          <w:sz w:val="32"/>
          <w:szCs w:val="32"/>
          <w:lang w:val="en-US" w:eastAsia="zh-CN"/>
        </w:rPr>
      </w:pPr>
      <w:r>
        <w:rPr>
          <w:rFonts w:hint="eastAsia" w:ascii="仿宋" w:hAnsi="仿宋" w:eastAsia="仿宋" w:cs="仿宋"/>
          <w:b/>
          <w:bCs/>
          <w:sz w:val="32"/>
          <w:szCs w:val="32"/>
          <w:lang w:eastAsia="zh-CN"/>
        </w:rPr>
        <w:t>（一）教学工作需进一步加强。</w:t>
      </w:r>
      <w:r>
        <w:rPr>
          <w:rFonts w:hint="eastAsia" w:ascii="仿宋" w:hAnsi="仿宋" w:eastAsia="仿宋" w:cs="仿宋"/>
          <w:b w:val="0"/>
          <w:bCs w:val="0"/>
          <w:sz w:val="32"/>
          <w:szCs w:val="32"/>
          <w:lang w:eastAsia="zh-CN"/>
        </w:rPr>
        <w:t>以教学为导向，但缺乏省部级以上教学成果奖，“十三五”期间只取得校级教学成果奖</w:t>
      </w:r>
      <w:r>
        <w:rPr>
          <w:rFonts w:hint="eastAsia" w:ascii="仿宋" w:hAnsi="仿宋" w:eastAsia="仿宋" w:cs="仿宋"/>
          <w:b w:val="0"/>
          <w:bCs w:val="0"/>
          <w:sz w:val="32"/>
          <w:szCs w:val="32"/>
          <w:lang w:val="en-US" w:eastAsia="zh-CN"/>
        </w:rPr>
        <w:t>5项；教学任务过重，教师任教课程与其专业背景不匹配。如：生态学背景教师，任教“大学计算机基础”、“动物学”课程等。</w:t>
      </w:r>
    </w:p>
    <w:p>
      <w:pPr>
        <w:keepNext w:val="0"/>
        <w:keepLines w:val="0"/>
        <w:pageBreakBefore w:val="0"/>
        <w:widowControl w:val="0"/>
        <w:kinsoku/>
        <w:wordWrap/>
        <w:overflowPunct/>
        <w:topLinePunct w:val="0"/>
        <w:autoSpaceDE/>
        <w:autoSpaceDN/>
        <w:bidi w:val="0"/>
        <w:adjustRightInd/>
        <w:snapToGrid/>
        <w:spacing w:line="490" w:lineRule="exact"/>
        <w:ind w:firstLine="643" w:firstLineChars="200"/>
        <w:textAlignment w:val="auto"/>
        <w:rPr>
          <w:rFonts w:hint="eastAsia" w:ascii="仿宋" w:hAnsi="仿宋" w:eastAsia="仿宋" w:cs="仿宋"/>
          <w:sz w:val="32"/>
          <w:szCs w:val="32"/>
          <w:lang w:eastAsia="zh-CN"/>
        </w:rPr>
      </w:pPr>
      <w:r>
        <w:rPr>
          <w:rFonts w:hint="eastAsia" w:ascii="仿宋" w:hAnsi="仿宋" w:eastAsia="仿宋" w:cs="仿宋"/>
          <w:b/>
          <w:bCs/>
          <w:sz w:val="32"/>
          <w:szCs w:val="32"/>
          <w:lang w:eastAsia="zh-CN"/>
        </w:rPr>
        <w:t>（二）学科布局需进一步优化。</w:t>
      </w:r>
      <w:r>
        <w:rPr>
          <w:rFonts w:hint="eastAsia" w:ascii="仿宋" w:hAnsi="仿宋" w:eastAsia="仿宋" w:cs="仿宋"/>
          <w:b w:val="0"/>
          <w:bCs w:val="0"/>
          <w:sz w:val="32"/>
          <w:szCs w:val="32"/>
          <w:lang w:eastAsia="zh-CN"/>
        </w:rPr>
        <w:t>学</w:t>
      </w:r>
      <w:r>
        <w:rPr>
          <w:rFonts w:hint="eastAsia" w:ascii="仿宋" w:hAnsi="仿宋" w:eastAsia="仿宋" w:cs="仿宋"/>
          <w:sz w:val="32"/>
          <w:szCs w:val="32"/>
          <w:lang w:eastAsia="zh-CN"/>
        </w:rPr>
        <w:t>科发展不平衡，药学和化学学科发展极为缓慢。缺乏省部级以上学科平台，药学学科师资严重不足，缺少省部级以上人才，且化学学科师资趋于老龄化。</w:t>
      </w:r>
    </w:p>
    <w:p>
      <w:pPr>
        <w:keepNext w:val="0"/>
        <w:keepLines w:val="0"/>
        <w:pageBreakBefore w:val="0"/>
        <w:widowControl w:val="0"/>
        <w:kinsoku/>
        <w:wordWrap/>
        <w:overflowPunct/>
        <w:topLinePunct w:val="0"/>
        <w:autoSpaceDE/>
        <w:autoSpaceDN/>
        <w:bidi w:val="0"/>
        <w:adjustRightInd/>
        <w:snapToGrid/>
        <w:spacing w:line="49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eastAsia="zh-CN"/>
        </w:rPr>
        <w:t>（三）师资力量需进一步提升。</w:t>
      </w:r>
      <w:r>
        <w:rPr>
          <w:rFonts w:hint="eastAsia" w:ascii="仿宋" w:hAnsi="仿宋" w:eastAsia="仿宋" w:cs="仿宋"/>
          <w:sz w:val="32"/>
          <w:szCs w:val="32"/>
          <w:lang w:eastAsia="zh-CN"/>
        </w:rPr>
        <w:t>师资年龄结构老化，在</w:t>
      </w:r>
      <w:r>
        <w:rPr>
          <w:rFonts w:hint="eastAsia" w:ascii="仿宋" w:hAnsi="仿宋" w:eastAsia="仿宋" w:cs="仿宋"/>
          <w:sz w:val="32"/>
          <w:szCs w:val="32"/>
          <w:lang w:val="en-US" w:eastAsia="zh-CN"/>
        </w:rPr>
        <w:t>70名专任教师中，35岁以下仅有14人；在15名正高职称教师中，50岁以上10人，55岁以上5人。省部级以上高层次人才7名，还需进一步加大对高层次人才的引进。</w:t>
      </w:r>
    </w:p>
    <w:p>
      <w:pPr>
        <w:keepNext w:val="0"/>
        <w:keepLines w:val="0"/>
        <w:pageBreakBefore w:val="0"/>
        <w:widowControl w:val="0"/>
        <w:kinsoku/>
        <w:wordWrap/>
        <w:overflowPunct/>
        <w:topLinePunct w:val="0"/>
        <w:autoSpaceDE/>
        <w:autoSpaceDN/>
        <w:bidi w:val="0"/>
        <w:adjustRightInd/>
        <w:snapToGrid/>
        <w:spacing w:line="49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（四）科研成果需进一步催生。</w:t>
      </w:r>
      <w:r>
        <w:rPr>
          <w:rFonts w:hint="eastAsia" w:ascii="仿宋" w:hAnsi="仿宋" w:eastAsia="仿宋" w:cs="仿宋"/>
          <w:sz w:val="32"/>
          <w:szCs w:val="32"/>
          <w:lang w:val="en-US" w:eastAsia="zh-CN"/>
        </w:rPr>
        <w:t>国家级项目及SCI一区论文等标志性成果较少。“十三五”期间，国家级项目累计12项，省部级及以上成果获奖数7项，SCI一区论文数3篇，其中，2020年国家级项目为0，2018-2020连续三年SCI一区论文数均为0。</w:t>
      </w:r>
    </w:p>
    <w:p>
      <w:pPr>
        <w:keepNext w:val="0"/>
        <w:keepLines w:val="0"/>
        <w:pageBreakBefore w:val="0"/>
        <w:widowControl w:val="0"/>
        <w:kinsoku/>
        <w:wordWrap/>
        <w:overflowPunct/>
        <w:topLinePunct w:val="0"/>
        <w:autoSpaceDE/>
        <w:autoSpaceDN/>
        <w:bidi w:val="0"/>
        <w:adjustRightInd/>
        <w:snapToGrid/>
        <w:spacing w:line="490" w:lineRule="exact"/>
        <w:ind w:firstLine="643" w:firstLineChars="200"/>
        <w:textAlignment w:val="auto"/>
        <w:rPr>
          <w:rFonts w:hint="eastAsia" w:ascii="仿宋" w:hAnsi="仿宋" w:eastAsia="仿宋" w:cs="仿宋"/>
          <w:sz w:val="32"/>
          <w:szCs w:val="32"/>
          <w:lang w:val="en-US" w:eastAsia="zh-CN"/>
        </w:rPr>
      </w:pPr>
      <w:r>
        <w:rPr>
          <w:rFonts w:hint="eastAsia" w:ascii="仿宋" w:hAnsi="仿宋" w:eastAsia="仿宋" w:cs="仿宋"/>
          <w:b/>
          <w:bCs/>
          <w:sz w:val="32"/>
          <w:szCs w:val="32"/>
          <w:lang w:val="en-US" w:eastAsia="zh-CN"/>
        </w:rPr>
        <w:t>（五）平台功能需进一步拓展。</w:t>
      </w:r>
      <w:r>
        <w:rPr>
          <w:rFonts w:hint="eastAsia" w:ascii="仿宋" w:hAnsi="仿宋" w:eastAsia="仿宋" w:cs="仿宋"/>
          <w:sz w:val="32"/>
          <w:szCs w:val="32"/>
          <w:lang w:val="en-US" w:eastAsia="zh-CN"/>
        </w:rPr>
        <w:t>实验教学平台亟需整合和“扶贫”。教学仪器设备严重老化，难以满足专业认证和新形势发展要求（使用期限超10年以上仪器占教学总资产76%）。实验室环境条件极差，化学、制药、生物等教学实验室的通风系统、水电系统以及实验台的改造，一直未获有效解决。实验室文化建设亟需加强，近几年经费大多用于实验室硬件建设，而实验室文化建设大多尚是空白状态。</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三</w:t>
      </w:r>
      <w:r>
        <w:rPr>
          <w:rFonts w:hint="eastAsia" w:ascii="黑体" w:hAnsi="黑体" w:eastAsia="黑体" w:cs="黑体"/>
          <w:sz w:val="32"/>
          <w:szCs w:val="32"/>
        </w:rPr>
        <w:t>、指导思想</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以习近平新时代中国特色社会主义思想为指导，深入贯彻全</w:t>
      </w:r>
    </w:p>
    <w:p>
      <w:pPr>
        <w:keepNext w:val="0"/>
        <w:keepLines w:val="0"/>
        <w:pageBreakBefore w:val="0"/>
        <w:widowControl w:val="0"/>
        <w:kinsoku/>
        <w:wordWrap/>
        <w:overflowPunct/>
        <w:topLinePunct w:val="0"/>
        <w:autoSpaceDE/>
        <w:autoSpaceDN/>
        <w:bidi w:val="0"/>
        <w:adjustRightInd/>
        <w:spacing w:line="490" w:lineRule="exact"/>
        <w:textAlignment w:val="auto"/>
        <w:rPr>
          <w:rFonts w:ascii="仿宋" w:hAnsi="仿宋" w:eastAsia="仿宋" w:cs="仿宋"/>
          <w:sz w:val="32"/>
          <w:szCs w:val="32"/>
        </w:rPr>
      </w:pPr>
      <w:r>
        <w:rPr>
          <w:rFonts w:hint="eastAsia" w:ascii="仿宋" w:hAnsi="仿宋" w:eastAsia="仿宋" w:cs="仿宋"/>
          <w:sz w:val="32"/>
          <w:szCs w:val="32"/>
        </w:rPr>
        <w:t>国全省教育大会精神，贯彻落实学校第四次党代会的战略部署，学院以学科建设为龙头、人才培养为核心、和谐稳定为保障，扎实地开展教学、科研、党建等各项工作。</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四</w:t>
      </w:r>
      <w:r>
        <w:rPr>
          <w:rFonts w:hint="eastAsia" w:ascii="黑体" w:hAnsi="黑体" w:eastAsia="黑体" w:cs="黑体"/>
          <w:sz w:val="32"/>
          <w:szCs w:val="32"/>
        </w:rPr>
        <w:t>、发展目标</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（一）总体目标</w:t>
      </w:r>
    </w:p>
    <w:p>
      <w:pPr>
        <w:keepNext w:val="0"/>
        <w:keepLines w:val="0"/>
        <w:pageBreakBefore w:val="0"/>
        <w:widowControl w:val="0"/>
        <w:kinsoku/>
        <w:wordWrap/>
        <w:overflowPunct/>
        <w:topLinePunct w:val="0"/>
        <w:autoSpaceDE/>
        <w:autoSpaceDN/>
        <w:bidi w:val="0"/>
        <w:adjustRightInd/>
        <w:snapToGrid w:val="0"/>
        <w:spacing w:line="490" w:lineRule="exact"/>
        <w:ind w:firstLine="640" w:firstLineChars="200"/>
        <w:textAlignment w:val="auto"/>
        <w:rPr>
          <w:rFonts w:hint="eastAsia" w:ascii="仿宋_GB2312" w:hAnsi="Arial" w:eastAsia="仿宋_GB2312" w:cs="Arial"/>
          <w:sz w:val="32"/>
          <w:szCs w:val="32"/>
        </w:rPr>
      </w:pPr>
      <w:r>
        <w:rPr>
          <w:rFonts w:hint="eastAsia" w:ascii="仿宋_GB2312" w:hAnsi="Arial" w:eastAsia="仿宋_GB2312" w:cs="Arial"/>
          <w:color w:val="auto"/>
          <w:sz w:val="32"/>
          <w:szCs w:val="32"/>
          <w:lang w:eastAsia="zh-CN"/>
        </w:rPr>
        <w:t>学院围绕特色兴院，</w:t>
      </w:r>
      <w:r>
        <w:rPr>
          <w:rFonts w:hint="eastAsia" w:ascii="仿宋_GB2312" w:hAnsi="Arial" w:eastAsia="仿宋_GB2312" w:cs="Arial"/>
          <w:sz w:val="32"/>
          <w:szCs w:val="32"/>
        </w:rPr>
        <w:t>学科做强，专业做优，服地做特，文化创新，全面落实“3918”战略体系，</w:t>
      </w:r>
      <w:r>
        <w:rPr>
          <w:rFonts w:hint="eastAsia" w:ascii="仿宋_GB2312" w:hAnsi="Arial" w:eastAsia="仿宋_GB2312" w:cs="Arial"/>
          <w:color w:val="auto"/>
          <w:sz w:val="32"/>
          <w:szCs w:val="32"/>
          <w:lang w:val="en-US" w:eastAsia="zh-CN"/>
        </w:rPr>
        <w:t>打造教学科研型</w:t>
      </w:r>
      <w:r>
        <w:rPr>
          <w:rFonts w:hint="eastAsia" w:ascii="仿宋_GB2312" w:hAnsi="Arial" w:eastAsia="仿宋_GB2312" w:cs="Arial"/>
          <w:color w:val="auto"/>
          <w:sz w:val="32"/>
          <w:szCs w:val="32"/>
        </w:rPr>
        <w:t>学院。</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（二）重点目标</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hint="eastAsia" w:ascii="仿宋" w:hAnsi="仿宋" w:eastAsia="仿宋" w:cs="仿宋"/>
          <w:b/>
          <w:color w:val="FF0000"/>
          <w:sz w:val="32"/>
          <w:szCs w:val="32"/>
        </w:rPr>
      </w:pPr>
      <w:r>
        <w:rPr>
          <w:rFonts w:hint="eastAsia" w:ascii="仿宋" w:hAnsi="仿宋" w:eastAsia="仿宋" w:cs="仿宋"/>
          <w:sz w:val="32"/>
          <w:szCs w:val="32"/>
        </w:rPr>
        <w:t>——本科教育质量。全日制本科生规模达到</w:t>
      </w:r>
      <w:r>
        <w:rPr>
          <w:rFonts w:hint="eastAsia" w:ascii="仿宋" w:hAnsi="仿宋" w:eastAsia="仿宋" w:cs="仿宋"/>
          <w:b w:val="0"/>
          <w:bCs w:val="0"/>
          <w:sz w:val="32"/>
          <w:szCs w:val="32"/>
        </w:rPr>
        <w:t>1100</w:t>
      </w:r>
      <w:r>
        <w:rPr>
          <w:rFonts w:hint="eastAsia" w:ascii="仿宋" w:hAnsi="仿宋" w:eastAsia="仿宋" w:cs="仿宋"/>
          <w:sz w:val="32"/>
          <w:szCs w:val="32"/>
        </w:rPr>
        <w:t>人，重点做优“新农科”，并提升水产等特色专业优势，力争2个专业通过认证；省级一流本科专业1个，省级一流本科课程5门，力争国家一流本科专业1个和国家一流本科课程1门；获省部级教学成果奖</w:t>
      </w:r>
      <w:r>
        <w:rPr>
          <w:rFonts w:hint="eastAsia" w:ascii="仿宋" w:hAnsi="仿宋" w:eastAsia="仿宋" w:cs="仿宋"/>
          <w:sz w:val="32"/>
          <w:szCs w:val="32"/>
          <w:lang w:val="en-US" w:eastAsia="zh-CN"/>
        </w:rPr>
        <w:t>1-</w:t>
      </w:r>
      <w:r>
        <w:rPr>
          <w:rFonts w:hint="eastAsia" w:ascii="仿宋" w:hAnsi="仿宋" w:eastAsia="仿宋" w:cs="仿宋"/>
          <w:sz w:val="32"/>
          <w:szCs w:val="32"/>
        </w:rPr>
        <w:t>2项</w:t>
      </w:r>
      <w:r>
        <w:rPr>
          <w:rFonts w:hint="eastAsia" w:ascii="仿宋" w:hAnsi="仿宋" w:eastAsia="仿宋" w:cs="仿宋"/>
          <w:b/>
          <w:sz w:val="32"/>
          <w:szCs w:val="32"/>
        </w:rPr>
        <w:t>，</w:t>
      </w:r>
      <w:r>
        <w:rPr>
          <w:rFonts w:hint="eastAsia" w:ascii="仿宋" w:hAnsi="仿宋" w:eastAsia="仿宋" w:cs="仿宋"/>
          <w:sz w:val="32"/>
          <w:szCs w:val="32"/>
        </w:rPr>
        <w:t>省级A类竞赛一等奖10项以上，并在国家级“挑战杯”、“互联网+创新创业”等大赛实现突破；发表核心期刊及以上研究论文80篇</w:t>
      </w:r>
      <w:r>
        <w:rPr>
          <w:rFonts w:hint="eastAsia" w:ascii="仿宋" w:hAnsi="仿宋" w:eastAsia="仿宋" w:cs="仿宋"/>
          <w:sz w:val="32"/>
          <w:szCs w:val="32"/>
          <w:lang w:eastAsia="zh-CN"/>
        </w:rPr>
        <w:t>、</w:t>
      </w:r>
      <w:r>
        <w:rPr>
          <w:rFonts w:hint="eastAsia" w:ascii="仿宋" w:hAnsi="仿宋" w:eastAsia="仿宋" w:cs="仿宋"/>
          <w:sz w:val="32"/>
          <w:szCs w:val="32"/>
        </w:rPr>
        <w:t>教研教改论文</w:t>
      </w:r>
      <w:r>
        <w:rPr>
          <w:rFonts w:hint="eastAsia" w:ascii="仿宋" w:hAnsi="仿宋" w:eastAsia="仿宋" w:cs="仿宋"/>
          <w:sz w:val="32"/>
          <w:szCs w:val="32"/>
          <w:lang w:val="en-US" w:eastAsia="zh-CN"/>
        </w:rPr>
        <w:t>20</w:t>
      </w:r>
      <w:r>
        <w:rPr>
          <w:rFonts w:hint="eastAsia" w:ascii="仿宋" w:hAnsi="仿宋" w:eastAsia="仿宋" w:cs="仿宋"/>
          <w:sz w:val="32"/>
          <w:szCs w:val="32"/>
        </w:rPr>
        <w:t>篇以上，获厅级以上教研课题20余项，专利50项；考研率达到35%。</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——学科建设与研究生教育。聚焦重大学科发展领域，重点建设</w:t>
      </w:r>
      <w:r>
        <w:rPr>
          <w:rFonts w:hint="eastAsia" w:ascii="仿宋" w:hAnsi="仿宋" w:eastAsia="仿宋" w:cs="仿宋"/>
          <w:sz w:val="32"/>
          <w:szCs w:val="32"/>
          <w:lang w:val="en-US" w:eastAsia="zh-CN"/>
        </w:rPr>
        <w:t>水产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生态和</w:t>
      </w:r>
      <w:r>
        <w:rPr>
          <w:rFonts w:hint="eastAsia" w:ascii="仿宋" w:hAnsi="仿宋" w:eastAsia="仿宋" w:cs="仿宋"/>
          <w:sz w:val="32"/>
          <w:szCs w:val="32"/>
        </w:rPr>
        <w:t>化学</w:t>
      </w:r>
      <w:r>
        <w:rPr>
          <w:rFonts w:hint="eastAsia" w:ascii="仿宋" w:hAnsi="仿宋" w:eastAsia="仿宋" w:cs="仿宋"/>
          <w:sz w:val="32"/>
          <w:szCs w:val="32"/>
          <w:lang w:val="en-US" w:eastAsia="zh-CN"/>
        </w:rPr>
        <w:t>学科</w:t>
      </w:r>
      <w:r>
        <w:rPr>
          <w:rFonts w:hint="eastAsia" w:ascii="仿宋" w:hAnsi="仿宋" w:eastAsia="仿宋" w:cs="仿宋"/>
          <w:sz w:val="32"/>
          <w:szCs w:val="32"/>
        </w:rPr>
        <w:t>，力争有2个学科入选“十四五”省一流学科；夯实学科基础，立足学科特色，推进高水平研究生教育，新增硕士学位点2个，研究生规模达到400人；积极申报博士学位授予权单位，联合培养博士研究生规模达到15人，1个学位点达到博士学位审核条件。</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人才引育工作。加大人才引培力度，优化教师队伍结构，提升学术生产力，打造一支师德高尚、专业过硬、素质优良的专业化教师队伍。至2025年专任教师达到110人，其中正高级职称达25人，具有博士学位教师的比例达到</w:t>
      </w:r>
      <w:r>
        <w:rPr>
          <w:rFonts w:hint="eastAsia" w:ascii="仿宋" w:hAnsi="仿宋" w:eastAsia="仿宋" w:cs="仿宋"/>
          <w:sz w:val="32"/>
          <w:szCs w:val="32"/>
          <w:lang w:val="en-US" w:eastAsia="zh-CN"/>
        </w:rPr>
        <w:t>90</w:t>
      </w:r>
      <w:r>
        <w:rPr>
          <w:rFonts w:hint="eastAsia" w:ascii="仿宋" w:hAnsi="仿宋" w:eastAsia="仿宋" w:cs="仿宋"/>
          <w:sz w:val="32"/>
          <w:szCs w:val="32"/>
        </w:rPr>
        <w:t>％</w:t>
      </w:r>
      <w:r>
        <w:rPr>
          <w:rFonts w:hint="eastAsia" w:ascii="仿宋" w:hAnsi="仿宋" w:eastAsia="仿宋" w:cs="仿宋"/>
          <w:sz w:val="32"/>
          <w:szCs w:val="32"/>
          <w:lang w:val="en-US" w:eastAsia="zh-CN"/>
        </w:rPr>
        <w:t>以上</w:t>
      </w:r>
      <w:r>
        <w:rPr>
          <w:rFonts w:hint="eastAsia" w:ascii="仿宋" w:hAnsi="仿宋" w:eastAsia="仿宋" w:cs="仿宋"/>
          <w:sz w:val="32"/>
          <w:szCs w:val="32"/>
        </w:rPr>
        <w:t>，生师比达到14:1，师资国际化率达到30%；新增省部级人才5个，力争实现国家级人才突破；建成现代农业、生命健康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生态文明</w:t>
      </w:r>
      <w:r>
        <w:rPr>
          <w:rFonts w:hint="eastAsia" w:ascii="仿宋" w:hAnsi="仿宋" w:eastAsia="仿宋" w:cs="仿宋"/>
          <w:sz w:val="32"/>
          <w:szCs w:val="32"/>
        </w:rPr>
        <w:t>和生物医药等科技创新团队。</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科技与社会服务。重点打造3大科研平台，力争新增省部级科研平台1个，打造“1+N”个学科科研成果转化校外基地；国家级项目达到20项，科研经费2000万以上，其中百万级以上横向项目达10项；获省部级科技成果奖3项以上，力争实现国家级科学技术奖突破；发表SCI收录二区</w:t>
      </w:r>
      <w:r>
        <w:rPr>
          <w:rFonts w:hint="eastAsia" w:ascii="仿宋" w:hAnsi="仿宋" w:eastAsia="仿宋" w:cs="仿宋"/>
          <w:sz w:val="32"/>
          <w:szCs w:val="32"/>
          <w:lang w:val="en-US" w:eastAsia="zh-CN"/>
        </w:rPr>
        <w:t>及</w:t>
      </w:r>
      <w:r>
        <w:rPr>
          <w:rFonts w:hint="eastAsia" w:ascii="仿宋" w:hAnsi="仿宋" w:eastAsia="仿宋" w:cs="仿宋"/>
          <w:sz w:val="32"/>
          <w:szCs w:val="32"/>
        </w:rPr>
        <w:t>以上研究论文</w:t>
      </w:r>
      <w:r>
        <w:rPr>
          <w:rFonts w:hint="eastAsia" w:ascii="仿宋" w:hAnsi="仿宋" w:eastAsia="仿宋" w:cs="仿宋"/>
          <w:sz w:val="32"/>
          <w:szCs w:val="32"/>
          <w:lang w:val="en-US" w:eastAsia="zh-CN"/>
        </w:rPr>
        <w:t>10</w:t>
      </w:r>
      <w:r>
        <w:rPr>
          <w:rFonts w:hint="eastAsia" w:ascii="仿宋" w:hAnsi="仿宋" w:eastAsia="仿宋" w:cs="仿宋"/>
          <w:sz w:val="32"/>
          <w:szCs w:val="32"/>
        </w:rPr>
        <w:t>0篇，申请国家发明专利20余项，并实现科研成果转化10项以上。</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、主要举措</w:t>
      </w:r>
    </w:p>
    <w:p>
      <w:pPr>
        <w:keepNext w:val="0"/>
        <w:keepLines w:val="0"/>
        <w:pageBreakBefore w:val="0"/>
        <w:widowControl w:val="0"/>
        <w:kinsoku/>
        <w:wordWrap/>
        <w:overflowPunct/>
        <w:topLinePunct w:val="0"/>
        <w:autoSpaceDE/>
        <w:autoSpaceDN/>
        <w:bidi w:val="0"/>
        <w:adjustRightInd/>
        <w:spacing w:line="490" w:lineRule="exact"/>
        <w:ind w:firstLine="619" w:firstLineChars="200"/>
        <w:textAlignment w:val="auto"/>
        <w:rPr>
          <w:rFonts w:ascii="仿宋" w:hAnsi="仿宋" w:eastAsia="仿宋" w:cs="仿宋"/>
          <w:b/>
          <w:bCs/>
          <w:spacing w:val="-6"/>
          <w:sz w:val="32"/>
          <w:szCs w:val="32"/>
        </w:rPr>
      </w:pPr>
      <w:r>
        <w:rPr>
          <w:rFonts w:hint="eastAsia" w:ascii="仿宋" w:hAnsi="仿宋" w:eastAsia="仿宋" w:cs="仿宋"/>
          <w:b/>
          <w:bCs/>
          <w:spacing w:val="-6"/>
          <w:sz w:val="32"/>
          <w:szCs w:val="32"/>
        </w:rPr>
        <w:t>（一）提升本科教育规模与质量，实施人才培养本科回归工程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借力专业审核/评估/整改，创新复合型人才培养模式</w:t>
      </w:r>
      <w:r>
        <w:rPr>
          <w:rFonts w:hint="eastAsia" w:ascii="仿宋" w:hAnsi="仿宋" w:eastAsia="仿宋" w:cs="仿宋"/>
          <w:sz w:val="32"/>
          <w:szCs w:val="32"/>
          <w:lang w:eastAsia="zh-CN"/>
        </w:rPr>
        <w:t>。</w:t>
      </w:r>
      <w:r>
        <w:rPr>
          <w:rFonts w:hint="eastAsia" w:ascii="仿宋" w:hAnsi="仿宋" w:eastAsia="仿宋" w:cs="仿宋"/>
          <w:sz w:val="32"/>
          <w:szCs w:val="32"/>
        </w:rPr>
        <w:t>以专业认证为契机，加强专业内涵建设</w:t>
      </w:r>
      <w:r>
        <w:rPr>
          <w:rFonts w:hint="eastAsia" w:ascii="仿宋" w:hAnsi="仿宋" w:eastAsia="仿宋" w:cs="仿宋"/>
          <w:sz w:val="32"/>
          <w:szCs w:val="32"/>
          <w:lang w:eastAsia="zh-CN"/>
        </w:rPr>
        <w:t>，</w:t>
      </w:r>
      <w:r>
        <w:rPr>
          <w:rFonts w:hint="eastAsia" w:ascii="仿宋" w:hAnsi="仿宋" w:eastAsia="仿宋" w:cs="仿宋"/>
          <w:sz w:val="32"/>
          <w:szCs w:val="32"/>
        </w:rPr>
        <w:t>推进各专业结构布局的优化与升级；对标国家一流课程，提升专业课程建设水平</w:t>
      </w:r>
      <w:r>
        <w:rPr>
          <w:rFonts w:hint="eastAsia" w:ascii="仿宋" w:hAnsi="仿宋" w:eastAsia="仿宋" w:cs="仿宋"/>
          <w:sz w:val="32"/>
          <w:szCs w:val="32"/>
          <w:lang w:eastAsia="zh-CN"/>
        </w:rPr>
        <w:t>，</w:t>
      </w:r>
      <w:r>
        <w:rPr>
          <w:rFonts w:hint="eastAsia" w:ascii="仿宋" w:hAnsi="仿宋" w:eastAsia="仿宋" w:cs="仿宋"/>
          <w:sz w:val="32"/>
          <w:szCs w:val="32"/>
        </w:rPr>
        <w:t>整合优质教育资源和技术资源，推动在线课程的应用，重点打造“金课”，提升专业课程建设整体水平；以社会需求为导向，建立校企合作人才培养机制，深化合作力度、拓宽合作范围，制定和完善人才培养方案，强化人才培养过程，共同评价人才培养质量，使之更符合企业的用人要求</w:t>
      </w:r>
      <w:r>
        <w:rPr>
          <w:rFonts w:hint="eastAsia" w:ascii="仿宋" w:hAnsi="仿宋" w:eastAsia="仿宋" w:cs="仿宋"/>
          <w:sz w:val="32"/>
          <w:szCs w:val="32"/>
          <w:lang w:eastAsia="zh-CN"/>
        </w:rPr>
        <w:t>；大力推进学科竞赛，提升学生创新与实践能力，</w:t>
      </w:r>
      <w:r>
        <w:rPr>
          <w:rFonts w:hint="eastAsia" w:ascii="仿宋" w:hAnsi="仿宋" w:eastAsia="仿宋" w:cs="仿宋"/>
          <w:sz w:val="32"/>
          <w:szCs w:val="32"/>
        </w:rPr>
        <w:t>促进互联网+教育的深度融合，拓展实践教学的深度广度，强化师范生技能训练与考核，加强学生科技创新意识、实践能力和创新能力的培养。</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（二）加强学科内涵建设，实施特色学科发展</w:t>
      </w:r>
      <w:r>
        <w:rPr>
          <w:rFonts w:hint="eastAsia" w:ascii="仿宋" w:hAnsi="仿宋" w:eastAsia="仿宋" w:cs="仿宋"/>
          <w:b/>
          <w:bCs/>
          <w:sz w:val="32"/>
          <w:szCs w:val="32"/>
          <w:lang w:eastAsia="zh-CN"/>
        </w:rPr>
        <w:t>造峰</w:t>
      </w:r>
      <w:r>
        <w:rPr>
          <w:rFonts w:hint="eastAsia" w:ascii="仿宋" w:hAnsi="仿宋" w:eastAsia="仿宋" w:cs="仿宋"/>
          <w:b/>
          <w:bCs/>
          <w:sz w:val="32"/>
          <w:szCs w:val="32"/>
        </w:rPr>
        <w:t>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调整和优化各学科布局，创新学科建设的组织构架</w:t>
      </w:r>
      <w:r>
        <w:rPr>
          <w:rFonts w:hint="eastAsia" w:ascii="仿宋" w:hAnsi="仿宋" w:eastAsia="仿宋" w:cs="仿宋"/>
          <w:sz w:val="32"/>
          <w:szCs w:val="32"/>
          <w:lang w:eastAsia="zh-CN"/>
        </w:rPr>
        <w:t>，</w:t>
      </w:r>
      <w:r>
        <w:rPr>
          <w:rFonts w:hint="eastAsia" w:ascii="仿宋" w:hAnsi="仿宋" w:eastAsia="仿宋" w:cs="仿宋"/>
          <w:sz w:val="32"/>
          <w:szCs w:val="32"/>
        </w:rPr>
        <w:t>人人进学科，个个进团队</w:t>
      </w:r>
      <w:r>
        <w:rPr>
          <w:rFonts w:hint="eastAsia" w:ascii="仿宋" w:hAnsi="仿宋" w:eastAsia="仿宋" w:cs="仿宋"/>
          <w:sz w:val="32"/>
          <w:szCs w:val="32"/>
          <w:lang w:eastAsia="zh-CN"/>
        </w:rPr>
        <w:t>。以水产学科为龙头，优化各学科布局，建立学科带头人领衔基层（系部）组织构架；</w:t>
      </w:r>
      <w:r>
        <w:rPr>
          <w:rFonts w:hint="eastAsia" w:ascii="仿宋" w:hAnsi="仿宋" w:eastAsia="仿宋" w:cs="仿宋"/>
          <w:sz w:val="32"/>
          <w:szCs w:val="32"/>
        </w:rPr>
        <w:t>探索学科、专业、党支部三位一体模式，加快推进学科的组织化建设，健全基层学科组织功能；切实发挥学科带头人作用，配备教学、科研专兼职秘书</w:t>
      </w:r>
      <w:r>
        <w:rPr>
          <w:rFonts w:hint="eastAsia" w:ascii="仿宋" w:hAnsi="仿宋" w:eastAsia="仿宋" w:cs="仿宋"/>
          <w:sz w:val="32"/>
          <w:szCs w:val="32"/>
          <w:lang w:eastAsia="zh-CN"/>
        </w:rPr>
        <w:t>；</w:t>
      </w:r>
      <w:r>
        <w:rPr>
          <w:rFonts w:hint="eastAsia" w:ascii="仿宋" w:hAnsi="仿宋" w:eastAsia="仿宋" w:cs="仿宋"/>
          <w:sz w:val="32"/>
          <w:szCs w:val="32"/>
        </w:rPr>
        <w:t>创新研究生培养模式，优化过程管理，以“服务需求，提高质量”为核心，以“成效、特色、贡献”为价值导向，全面提升研究生教育的核心竞争 力，努力建成在长三角有重要影响和示范作用的科学研究基地和高层次人才的培育基地。</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（三）加大人才引培力度，实施师资队伍建设一流驱动工程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精准“扶富”，让一部分教师“先富起来”，达到“共同富裕”</w:t>
      </w:r>
      <w:r>
        <w:rPr>
          <w:rFonts w:hint="eastAsia" w:ascii="仿宋" w:hAnsi="仿宋" w:eastAsia="仿宋" w:cs="仿宋"/>
          <w:sz w:val="32"/>
          <w:szCs w:val="32"/>
          <w:lang w:eastAsia="zh-CN"/>
        </w:rPr>
        <w:t>。按照学科发展的需要，精准引进国家/省部级人才、海外青年博士，重点引培具有”双创“能力和国际视野的学科骨干，</w:t>
      </w:r>
      <w:r>
        <w:rPr>
          <w:rFonts w:hint="eastAsia" w:ascii="仿宋" w:hAnsi="仿宋" w:eastAsia="仿宋" w:cs="仿宋"/>
          <w:sz w:val="32"/>
          <w:szCs w:val="32"/>
        </w:rPr>
        <w:t>建立“引得进、留得住、用得好”的人才生态系统。</w:t>
      </w:r>
      <w:r>
        <w:rPr>
          <w:rFonts w:hint="eastAsia" w:ascii="仿宋" w:hAnsi="仿宋" w:eastAsia="仿宋" w:cs="仿宋"/>
          <w:sz w:val="32"/>
          <w:szCs w:val="32"/>
          <w:lang w:eastAsia="zh-CN"/>
        </w:rPr>
        <w:t>优化师资队伍的学缘结构，实行团队合作契约化，营造良性竞争模式，并通过海内外进修与合作，提升骨干教师的业务能力。以职称评定和第四轮岗聘为抓手，量化考核机制，实行青年教师导师制，引导</w:t>
      </w:r>
      <w:r>
        <w:rPr>
          <w:rFonts w:hint="eastAsia" w:ascii="仿宋" w:hAnsi="仿宋" w:eastAsia="仿宋" w:cs="仿宋"/>
          <w:sz w:val="32"/>
          <w:szCs w:val="32"/>
        </w:rPr>
        <w:t>青年教师积极参与教研和科研活动，</w:t>
      </w:r>
      <w:r>
        <w:rPr>
          <w:rFonts w:hint="eastAsia" w:ascii="仿宋" w:hAnsi="仿宋" w:eastAsia="仿宋" w:cs="仿宋"/>
          <w:sz w:val="32"/>
          <w:szCs w:val="32"/>
          <w:lang w:eastAsia="zh-CN"/>
        </w:rPr>
        <w:t>做到“早进学科、早进团队、早进实验室”。</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（四）提高科研成果产出，实施科研优化与成效提升工程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突破教学为主的惯性思维，营造科研-教学并重的氛围</w:t>
      </w:r>
      <w:r>
        <w:rPr>
          <w:rFonts w:hint="eastAsia" w:ascii="仿宋" w:hAnsi="仿宋" w:eastAsia="仿宋" w:cs="仿宋"/>
          <w:sz w:val="32"/>
          <w:szCs w:val="32"/>
          <w:lang w:eastAsia="zh-CN"/>
        </w:rPr>
        <w:t>。</w:t>
      </w:r>
      <w:r>
        <w:rPr>
          <w:rFonts w:hint="eastAsia" w:ascii="仿宋" w:hAnsi="仿宋" w:eastAsia="仿宋" w:cs="仿宋"/>
          <w:sz w:val="32"/>
          <w:szCs w:val="32"/>
        </w:rPr>
        <w:t>积极引导教师申报国家自然科学基金和省部级项目，特别是紧密结合区域产业的发展需求，分类、分层次地进行重点培育，力争产出一批重大标志性创新成果；培育国家级和省部级科技成果奖</w:t>
      </w:r>
      <w:r>
        <w:rPr>
          <w:rFonts w:hint="eastAsia" w:ascii="仿宋" w:hAnsi="仿宋" w:eastAsia="仿宋" w:cs="仿宋"/>
          <w:sz w:val="32"/>
          <w:szCs w:val="32"/>
          <w:lang w:eastAsia="zh-CN"/>
        </w:rPr>
        <w:t>，</w:t>
      </w:r>
      <w:r>
        <w:rPr>
          <w:rFonts w:hint="eastAsia" w:ascii="仿宋" w:hAnsi="仿宋" w:eastAsia="仿宋" w:cs="仿宋"/>
          <w:sz w:val="32"/>
          <w:szCs w:val="32"/>
        </w:rPr>
        <w:t>加强各类科技成果奖申报与知识产权工作力度，做好省部级科技奖励的组织与申报工作，特别是国家级科技成果奖的培育工作；打造国家级和省部级科研平台</w:t>
      </w:r>
      <w:r>
        <w:rPr>
          <w:rFonts w:hint="eastAsia" w:ascii="仿宋" w:hAnsi="仿宋" w:eastAsia="仿宋" w:cs="仿宋"/>
          <w:sz w:val="32"/>
          <w:szCs w:val="32"/>
          <w:lang w:eastAsia="zh-CN"/>
        </w:rPr>
        <w:t>，</w:t>
      </w:r>
      <w:r>
        <w:rPr>
          <w:rFonts w:hint="eastAsia" w:ascii="仿宋" w:hAnsi="仿宋" w:eastAsia="仿宋" w:cs="仿宋"/>
          <w:sz w:val="32"/>
          <w:szCs w:val="32"/>
        </w:rPr>
        <w:t>强化资源统筹配置，重点打造现代农业、生物医药、生命健康、渔业等特色科研团队；寻求横向项目增长点，助推技术转化</w:t>
      </w:r>
      <w:r>
        <w:rPr>
          <w:rFonts w:hint="eastAsia" w:ascii="仿宋" w:hAnsi="仿宋" w:eastAsia="仿宋" w:cs="仿宋"/>
          <w:sz w:val="32"/>
          <w:szCs w:val="32"/>
          <w:lang w:eastAsia="zh-CN"/>
        </w:rPr>
        <w:t>，</w:t>
      </w:r>
      <w:r>
        <w:rPr>
          <w:rFonts w:hint="eastAsia" w:ascii="仿宋" w:hAnsi="仿宋" w:eastAsia="仿宋" w:cs="仿宋"/>
          <w:sz w:val="32"/>
          <w:szCs w:val="32"/>
        </w:rPr>
        <w:t>深化“双进双强”</w:t>
      </w:r>
      <w:r>
        <w:rPr>
          <w:rFonts w:hint="eastAsia" w:ascii="仿宋" w:hAnsi="仿宋" w:eastAsia="仿宋" w:cs="仿宋"/>
          <w:sz w:val="32"/>
          <w:szCs w:val="32"/>
          <w:lang w:eastAsia="zh-CN"/>
        </w:rPr>
        <w:t>、</w:t>
      </w:r>
      <w:r>
        <w:rPr>
          <w:rFonts w:hint="eastAsia" w:ascii="仿宋" w:hAnsi="仿宋" w:eastAsia="仿宋" w:cs="仿宋"/>
          <w:sz w:val="32"/>
          <w:szCs w:val="32"/>
        </w:rPr>
        <w:t>教师挂职、校企合作交流</w:t>
      </w:r>
      <w:r>
        <w:rPr>
          <w:rFonts w:hint="eastAsia" w:ascii="仿宋" w:hAnsi="仿宋" w:eastAsia="仿宋" w:cs="仿宋"/>
          <w:sz w:val="32"/>
          <w:szCs w:val="32"/>
          <w:lang w:eastAsia="zh-CN"/>
        </w:rPr>
        <w:t>等工作</w:t>
      </w:r>
      <w:r>
        <w:rPr>
          <w:rFonts w:hint="eastAsia" w:ascii="仿宋" w:hAnsi="仿宋" w:eastAsia="仿宋" w:cs="仿宋"/>
          <w:sz w:val="32"/>
          <w:szCs w:val="32"/>
        </w:rPr>
        <w:t>。</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（五）扩大服务地方功能，实施校地融合与设备共享工程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整合实验室与基地资源优势，打造政产学研协同创新平台</w:t>
      </w:r>
      <w:r>
        <w:rPr>
          <w:rFonts w:hint="eastAsia" w:ascii="仿宋" w:hAnsi="仿宋" w:eastAsia="仿宋" w:cs="仿宋"/>
          <w:sz w:val="32"/>
          <w:szCs w:val="32"/>
          <w:lang w:eastAsia="zh-CN"/>
        </w:rPr>
        <w:t>。</w:t>
      </w:r>
      <w:r>
        <w:rPr>
          <w:rFonts w:hint="eastAsia" w:ascii="仿宋" w:hAnsi="仿宋" w:eastAsia="仿宋" w:cs="仿宋"/>
          <w:sz w:val="32"/>
          <w:szCs w:val="32"/>
        </w:rPr>
        <w:t>成立服务地方办公室，进一步拓展和提高服务地方功能</w:t>
      </w:r>
      <w:r>
        <w:rPr>
          <w:rFonts w:hint="eastAsia" w:ascii="仿宋" w:hAnsi="仿宋" w:eastAsia="仿宋" w:cs="仿宋"/>
          <w:sz w:val="32"/>
          <w:szCs w:val="32"/>
          <w:lang w:eastAsia="zh-CN"/>
        </w:rPr>
        <w:t>，聚焦地方特色优势产业，创新校地合作模式（研发、转让、培训、服务、咨询等），实施绿色种养殖技术培训、病虫害防治、土壤及水环境改良、新药创制、健康监测等技术，实现现代农业、绿色渔业、生命健康和生物医药等产业领域的技术成果转化，助推地方相关产业发展；建立实验室信息化化管理体系，推行平台设备的开放共享；利用校友资源和政府产业发展政策，建立服务地方长效机制与利益分配制度。</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（六）创建“12345”体系，实施党政双翼齐飞工程</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始终坚持“把方向、强队伍、正作风，抓落实”的党建工作理念，创建“12345”党建体系。“1”是一个核心，围绕中心抓党建，抓好党建促发展；“2”二大工程，师资队伍、人才培养两大工程；“3”三支队伍，干部队伍、党员队伍、学生骨干队伍；“4”四项举措，规范建设、建章立制、突出重点、培育典型；“5”五种文化，学术文化、党建文化、育人文化、成才文化、校友文化。加强教职员工的“立德树人”意识和责任，深化师德师风建设。以社会主义核心价值体系为引领，推进“一院一品”文化品牌建设和“君子之风”培育工作，努力将学院建成师生精神家园和生态绿色的美丽家园。坚持党管干部、党管人才原则，切实加强学院党政领导班子自身建设，重组内设中层，提升干部治理能力。密切联系师生员工，推进作风建设长效化、常态化、制度化，着力解决师生反映强烈的突出问题，办好与师生休戚相关的实事好事，为师生排忧解难。</w:t>
      </w:r>
    </w:p>
    <w:p>
      <w:pPr>
        <w:keepNext w:val="0"/>
        <w:keepLines w:val="0"/>
        <w:pageBreakBefore w:val="0"/>
        <w:widowControl w:val="0"/>
        <w:kinsoku/>
        <w:wordWrap/>
        <w:overflowPunct/>
        <w:topLinePunct w:val="0"/>
        <w:autoSpaceDE/>
        <w:autoSpaceDN/>
        <w:bidi w:val="0"/>
        <w:adjustRightInd/>
        <w:spacing w:before="156" w:beforeLines="50" w:after="156" w:afterLines="50" w:line="490" w:lineRule="exact"/>
        <w:ind w:firstLine="640" w:firstLineChars="200"/>
        <w:textAlignment w:val="auto"/>
        <w:rPr>
          <w:rFonts w:ascii="黑体" w:hAnsi="黑体" w:eastAsia="黑体" w:cs="黑体"/>
          <w:sz w:val="32"/>
          <w:szCs w:val="32"/>
        </w:rPr>
      </w:pPr>
      <w:r>
        <w:rPr>
          <w:rFonts w:hint="eastAsia" w:ascii="黑体" w:hAnsi="黑体" w:eastAsia="黑体" w:cs="黑体"/>
          <w:sz w:val="32"/>
          <w:szCs w:val="32"/>
          <w:lang w:eastAsia="zh-CN"/>
        </w:rPr>
        <w:t>六</w:t>
      </w:r>
      <w:r>
        <w:rPr>
          <w:rFonts w:hint="eastAsia" w:ascii="黑体" w:hAnsi="黑体" w:eastAsia="黑体" w:cs="黑体"/>
          <w:sz w:val="32"/>
          <w:szCs w:val="32"/>
        </w:rPr>
        <w:t>、保障措施</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（一）加强组织，确保规划顺利实施</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紧紧依靠全院师生，充分发挥党委的领导核心作用、党政联席会决策机制作用，为全面实施学院规划提供有力组织保障。成立规划实施领导小组，全面负责规划的组织、实施与协调、监督。建立保障机制，牵头领导具体负责，学院内部分工合作、密切配合，协调高效推进规划的实施。</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（二）加强管理，确保规划顺利推进</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加强领导班子民主集中制建设，建立领导班子科学决策机制，强化顶层设计。以树立以人为本的管理理念，积极推进现代管理制度，保障学院改革与发展。以学校章程为抓手，推进学院各项制度的“废、改、立”，保证制度体系的统一性。</w:t>
      </w:r>
    </w:p>
    <w:p>
      <w:pPr>
        <w:keepNext w:val="0"/>
        <w:keepLines w:val="0"/>
        <w:pageBreakBefore w:val="0"/>
        <w:widowControl w:val="0"/>
        <w:kinsoku/>
        <w:wordWrap/>
        <w:overflowPunct/>
        <w:topLinePunct w:val="0"/>
        <w:autoSpaceDE/>
        <w:autoSpaceDN/>
        <w:bidi w:val="0"/>
        <w:adjustRightInd/>
        <w:spacing w:line="490" w:lineRule="exact"/>
        <w:ind w:firstLine="643" w:firstLineChars="200"/>
        <w:textAlignment w:val="auto"/>
        <w:rPr>
          <w:rFonts w:ascii="仿宋" w:hAnsi="仿宋" w:eastAsia="仿宋" w:cs="仿宋"/>
          <w:b/>
          <w:bCs/>
          <w:sz w:val="32"/>
          <w:szCs w:val="32"/>
        </w:rPr>
      </w:pPr>
      <w:r>
        <w:rPr>
          <w:rFonts w:hint="eastAsia" w:ascii="仿宋" w:hAnsi="仿宋" w:eastAsia="仿宋" w:cs="仿宋"/>
          <w:b/>
          <w:bCs/>
          <w:sz w:val="32"/>
          <w:szCs w:val="32"/>
        </w:rPr>
        <w:t>（三）加强落实，确保规划顺利完成</w:t>
      </w:r>
    </w:p>
    <w:p>
      <w:pPr>
        <w:keepNext w:val="0"/>
        <w:keepLines w:val="0"/>
        <w:pageBreakBefore w:val="0"/>
        <w:widowControl w:val="0"/>
        <w:kinsoku/>
        <w:wordWrap/>
        <w:overflowPunct/>
        <w:topLinePunct w:val="0"/>
        <w:autoSpaceDE/>
        <w:autoSpaceDN/>
        <w:bidi w:val="0"/>
        <w:adjustRightInd/>
        <w:spacing w:line="490" w:lineRule="exact"/>
        <w:ind w:firstLine="640" w:firstLineChars="200"/>
        <w:textAlignment w:val="auto"/>
        <w:rPr>
          <w:rFonts w:ascii="仿宋" w:hAnsi="仿宋" w:eastAsia="仿宋" w:cs="仿宋"/>
          <w:sz w:val="32"/>
          <w:szCs w:val="32"/>
        </w:rPr>
      </w:pPr>
      <w:r>
        <w:rPr>
          <w:rFonts w:hint="eastAsia" w:ascii="仿宋" w:hAnsi="仿宋" w:eastAsia="仿宋" w:cs="仿宋"/>
          <w:sz w:val="32"/>
          <w:szCs w:val="32"/>
        </w:rPr>
        <w:t>建立三级责任体系，使规划成为指导工作的行为规范和工作指南。抓好规划制定、任务分解、规划实施等环节，注重过程管理。围绕规划确定的目标体系，优化资源配置，整合学院资源，保证重要任务的完成。</w:t>
      </w:r>
    </w:p>
    <w:sectPr>
      <w:headerReference r:id="rId5" w:type="first"/>
      <w:footerReference r:id="rId8" w:type="first"/>
      <w:headerReference r:id="rId3" w:type="default"/>
      <w:footerReference r:id="rId6" w:type="default"/>
      <w:headerReference r:id="rId4" w:type="even"/>
      <w:footerReference r:id="rId7" w:type="even"/>
      <w:pgSz w:w="11906" w:h="16838"/>
      <w:pgMar w:top="1610" w:right="1474" w:bottom="1610" w:left="147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8</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564"/>
    <w:rsid w:val="003779E2"/>
    <w:rsid w:val="00400030"/>
    <w:rsid w:val="00462809"/>
    <w:rsid w:val="00495886"/>
    <w:rsid w:val="00521DE1"/>
    <w:rsid w:val="00546C00"/>
    <w:rsid w:val="00611564"/>
    <w:rsid w:val="007516C7"/>
    <w:rsid w:val="007B3FE4"/>
    <w:rsid w:val="008348D9"/>
    <w:rsid w:val="00B22464"/>
    <w:rsid w:val="00C00F2D"/>
    <w:rsid w:val="00D12D81"/>
    <w:rsid w:val="00EA42E6"/>
    <w:rsid w:val="027E0DC2"/>
    <w:rsid w:val="0CAE7BF0"/>
    <w:rsid w:val="0D121BEA"/>
    <w:rsid w:val="149370AE"/>
    <w:rsid w:val="159A2B13"/>
    <w:rsid w:val="28961F1D"/>
    <w:rsid w:val="29486781"/>
    <w:rsid w:val="2AC22163"/>
    <w:rsid w:val="3136640D"/>
    <w:rsid w:val="3309445D"/>
    <w:rsid w:val="358F7B5D"/>
    <w:rsid w:val="38D567C0"/>
    <w:rsid w:val="39846F2F"/>
    <w:rsid w:val="3BF042BC"/>
    <w:rsid w:val="3EE46384"/>
    <w:rsid w:val="407D1249"/>
    <w:rsid w:val="42974DFB"/>
    <w:rsid w:val="4B164826"/>
    <w:rsid w:val="4CE5598C"/>
    <w:rsid w:val="4D8B5DC2"/>
    <w:rsid w:val="52A70BD2"/>
    <w:rsid w:val="559C301F"/>
    <w:rsid w:val="59503291"/>
    <w:rsid w:val="5A4126AA"/>
    <w:rsid w:val="5E1D3537"/>
    <w:rsid w:val="64E021AC"/>
    <w:rsid w:val="66260597"/>
    <w:rsid w:val="66F54974"/>
    <w:rsid w:val="67AD7705"/>
    <w:rsid w:val="7F121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99"/>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FollowedHyperlink"/>
    <w:basedOn w:val="6"/>
    <w:uiPriority w:val="0"/>
    <w:rPr>
      <w:color w:val="000000"/>
      <w:u w:val="none"/>
    </w:rPr>
  </w:style>
  <w:style w:type="character" w:styleId="8">
    <w:name w:val="HTML Typewriter"/>
    <w:basedOn w:val="6"/>
    <w:uiPriority w:val="0"/>
    <w:rPr>
      <w:b/>
      <w:bCs/>
      <w:color w:val="000000"/>
      <w:sz w:val="18"/>
      <w:szCs w:val="18"/>
    </w:rPr>
  </w:style>
  <w:style w:type="character" w:styleId="9">
    <w:name w:val="Hyperlink"/>
    <w:basedOn w:val="6"/>
    <w:uiPriority w:val="0"/>
    <w:rPr>
      <w:color w:val="000000"/>
      <w:u w:val="none"/>
    </w:rPr>
  </w:style>
  <w:style w:type="character" w:customStyle="1" w:styleId="10">
    <w:name w:val="pubdate-month"/>
    <w:basedOn w:val="6"/>
    <w:qFormat/>
    <w:uiPriority w:val="0"/>
    <w:rPr>
      <w:color w:val="FFFFFF"/>
      <w:sz w:val="24"/>
      <w:szCs w:val="24"/>
      <w:shd w:val="clear" w:fill="CC0000"/>
    </w:rPr>
  </w:style>
  <w:style w:type="character" w:customStyle="1" w:styleId="11">
    <w:name w:val="psreply"/>
    <w:basedOn w:val="6"/>
    <w:qFormat/>
    <w:uiPriority w:val="0"/>
    <w:rPr>
      <w:color w:val="999999"/>
      <w:sz w:val="18"/>
      <w:szCs w:val="18"/>
    </w:rPr>
  </w:style>
  <w:style w:type="character" w:customStyle="1" w:styleId="12">
    <w:name w:val="pssort"/>
    <w:basedOn w:val="6"/>
    <w:qFormat/>
    <w:uiPriority w:val="0"/>
    <w:rPr>
      <w:color w:val="999999"/>
      <w:sz w:val="18"/>
      <w:szCs w:val="18"/>
    </w:rPr>
  </w:style>
  <w:style w:type="character" w:customStyle="1" w:styleId="13">
    <w:name w:val="news_title"/>
    <w:basedOn w:val="6"/>
    <w:uiPriority w:val="0"/>
    <w:rPr>
      <w:sz w:val="21"/>
      <w:szCs w:val="21"/>
    </w:rPr>
  </w:style>
  <w:style w:type="character" w:customStyle="1" w:styleId="14">
    <w:name w:val="news_meta"/>
    <w:basedOn w:val="6"/>
    <w:uiPriority w:val="0"/>
    <w:rPr>
      <w:color w:val="9C9C9C"/>
    </w:rPr>
  </w:style>
  <w:style w:type="character" w:customStyle="1" w:styleId="15">
    <w:name w:val="pubdate-day"/>
    <w:basedOn w:val="6"/>
    <w:uiPriority w:val="0"/>
    <w:rPr>
      <w:shd w:val="clear" w:fill="F2F2F2"/>
    </w:rPr>
  </w:style>
  <w:style w:type="character" w:customStyle="1" w:styleId="16">
    <w:name w:val="item-name"/>
    <w:basedOn w:val="6"/>
    <w:uiPriority w:val="0"/>
  </w:style>
  <w:style w:type="character" w:customStyle="1" w:styleId="17">
    <w:name w:val="item-name1"/>
    <w:basedOn w:val="6"/>
    <w:qFormat/>
    <w:uiPriority w:val="0"/>
  </w:style>
  <w:style w:type="character" w:customStyle="1" w:styleId="18">
    <w:name w:val="psdate"/>
    <w:basedOn w:val="6"/>
    <w:qFormat/>
    <w:uiPriority w:val="0"/>
    <w:rPr>
      <w:color w:val="999999"/>
      <w:sz w:val="18"/>
      <w:szCs w:val="18"/>
    </w:rPr>
  </w:style>
  <w:style w:type="character" w:customStyle="1" w:styleId="19">
    <w:name w:val="psname"/>
    <w:basedOn w:val="6"/>
    <w:qFormat/>
    <w:uiPriority w:val="0"/>
    <w:rPr>
      <w:color w:val="FF0000"/>
      <w:sz w:val="18"/>
      <w:szCs w:val="18"/>
    </w:rPr>
  </w:style>
  <w:style w:type="character" w:customStyle="1" w:styleId="20">
    <w:name w:val="pshits"/>
    <w:basedOn w:val="6"/>
    <w:qFormat/>
    <w:uiPriority w:val="0"/>
    <w:rPr>
      <w:color w:val="999999"/>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128FBA7-5619-4D12-8AB3-4BCE10F901A8}">
  <ds:schemaRefs/>
</ds:datastoreItem>
</file>

<file path=docProps/app.xml><?xml version="1.0" encoding="utf-8"?>
<Properties xmlns="http://schemas.openxmlformats.org/officeDocument/2006/extended-properties" xmlns:vt="http://schemas.openxmlformats.org/officeDocument/2006/docPropsVTypes">
  <Template>Normal</Template>
  <Pages>9</Pages>
  <Words>805</Words>
  <Characters>4592</Characters>
  <Lines>38</Lines>
  <Paragraphs>10</Paragraphs>
  <TotalTime>2</TotalTime>
  <ScaleCrop>false</ScaleCrop>
  <LinksUpToDate>false</LinksUpToDate>
  <CharactersWithSpaces>5387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2021-01-15T07:41:00Z</dcterms:created>
  <dc:creator>Administrator</dc:creator>
  <cp:lastModifiedBy>晶</cp:lastModifiedBy>
  <dcterms:modified xsi:type="dcterms:W3CDTF">2022-03-01T00:51:01Z</dcterms:modified>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EFAD1931A3D844D8A56A04F6DEBEFC05</vt:lpwstr>
  </property>
</Properties>
</file>