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u w:val="single"/>
        </w:rPr>
      </w:pPr>
      <w:bookmarkStart w:id="0" w:name="_GoBack"/>
      <w:bookmarkEnd w:id="0"/>
    </w:p>
    <w:p>
      <w:pPr>
        <w:spacing w:line="360" w:lineRule="auto"/>
        <w:rPr>
          <w:rFonts w:hint="eastAsia"/>
          <w:u w:val="single"/>
        </w:rPr>
      </w:pPr>
    </w:p>
    <w:p>
      <w:pPr>
        <w:spacing w:line="360" w:lineRule="auto"/>
        <w:rPr>
          <w:rFonts w:hint="eastAsia"/>
          <w:u w:val="single"/>
        </w:rPr>
      </w:pPr>
    </w:p>
    <w:p>
      <w:pPr>
        <w:spacing w:line="360" w:lineRule="auto"/>
        <w:rPr>
          <w:rFonts w:hint="eastAsia"/>
          <w:u w:val="single"/>
        </w:rPr>
      </w:pPr>
    </w:p>
    <w:p>
      <w:pPr>
        <w:spacing w:line="360" w:lineRule="auto"/>
        <w:rPr>
          <w:rFonts w:hint="eastAsia"/>
          <w:u w:val="single"/>
        </w:rPr>
      </w:pPr>
    </w:p>
    <w:p>
      <w:pPr>
        <w:spacing w:line="360" w:lineRule="auto"/>
        <w:rPr>
          <w:rFonts w:hint="eastAsia"/>
          <w:u w:val="single"/>
        </w:rPr>
      </w:pPr>
    </w:p>
    <w:p>
      <w:pPr>
        <w:spacing w:line="360" w:lineRule="auto"/>
        <w:jc w:val="center"/>
        <w:rPr>
          <w:rFonts w:hint="eastAsia"/>
          <w:u w:val="single"/>
        </w:rPr>
      </w:pPr>
    </w:p>
    <w:p>
      <w:pPr>
        <w:jc w:val="center"/>
        <w:rPr>
          <w:rFonts w:ascii="宋体"/>
          <w:sz w:val="28"/>
        </w:rPr>
      </w:pPr>
      <w:r>
        <w:rPr>
          <w:rFonts w:hint="eastAsia" w:ascii="仿宋_GB2312" w:eastAsia="仿宋_GB2312"/>
          <w:sz w:val="32"/>
        </w:rPr>
        <w:t>湖师艺术发</w:t>
      </w:r>
      <w:r>
        <w:rPr>
          <w:rFonts w:hint="eastAsia" w:ascii="仿宋_GB2312" w:hAnsi="宋体" w:eastAsia="仿宋_GB2312"/>
          <w:sz w:val="32"/>
        </w:rPr>
        <w:t>〔</w:t>
      </w:r>
      <w:r>
        <w:rPr>
          <w:rFonts w:hint="eastAsia" w:ascii="仿宋_GB2312" w:eastAsia="仿宋_GB2312"/>
          <w:sz w:val="32"/>
        </w:rPr>
        <w:t>202</w:t>
      </w:r>
      <w:r>
        <w:rPr>
          <w:rFonts w:hint="eastAsia" w:ascii="仿宋_GB2312" w:eastAsia="仿宋_GB2312"/>
          <w:sz w:val="32"/>
          <w:lang w:val="en-US" w:eastAsia="zh-CN"/>
        </w:rPr>
        <w:t>2</w:t>
      </w:r>
      <w:r>
        <w:rPr>
          <w:rFonts w:hint="eastAsia" w:ascii="仿宋_GB2312" w:hAnsi="宋体" w:eastAsia="仿宋_GB2312"/>
          <w:sz w:val="32"/>
        </w:rPr>
        <w:t>〕</w:t>
      </w:r>
      <w:r>
        <w:rPr>
          <w:rFonts w:hint="eastAsia" w:ascii="仿宋_GB2312" w:hAnsi="宋体" w:eastAsia="仿宋_GB2312"/>
          <w:sz w:val="32"/>
          <w:lang w:val="en-US" w:eastAsia="zh-CN"/>
        </w:rPr>
        <w:t>3</w:t>
      </w:r>
      <w:r>
        <w:rPr>
          <w:rFonts w:hint="eastAsia" w:ascii="仿宋_GB2312" w:eastAsia="仿宋_GB2312"/>
          <w:sz w:val="32"/>
        </w:rPr>
        <w:t>号</w:t>
      </w:r>
    </w:p>
    <w:p>
      <w:pPr>
        <w:jc w:val="center"/>
        <w:rPr>
          <w:rFonts w:hint="eastAsia" w:ascii="宋体"/>
          <w:sz w:val="28"/>
        </w:rPr>
      </w:pPr>
    </w:p>
    <w:p>
      <w:pPr>
        <w:spacing w:line="440" w:lineRule="exact"/>
        <w:jc w:val="center"/>
        <w:rPr>
          <w:rFonts w:hint="eastAsia" w:ascii="宋体" w:hAnsi="宋体"/>
          <w:b/>
          <w:bCs/>
          <w:spacing w:val="-20"/>
          <w:sz w:val="44"/>
          <w:szCs w:val="44"/>
        </w:rPr>
      </w:pPr>
    </w:p>
    <w:p>
      <w:pPr>
        <w:spacing w:line="520" w:lineRule="exact"/>
        <w:jc w:val="center"/>
        <w:rPr>
          <w:rFonts w:hint="eastAsia" w:ascii="方正小标宋简体" w:hAnsi="宋体" w:eastAsia="方正小标宋简体"/>
          <w:b/>
          <w:bCs/>
          <w:spacing w:val="0"/>
          <w:sz w:val="44"/>
          <w:szCs w:val="44"/>
          <w:lang w:eastAsia="zh-CN"/>
        </w:rPr>
      </w:pPr>
      <w:r>
        <w:rPr>
          <w:rFonts w:hint="eastAsia" w:ascii="方正小标宋简体" w:hAnsi="宋体" w:eastAsia="方正小标宋简体"/>
          <w:b/>
          <w:bCs/>
          <w:spacing w:val="0"/>
          <w:sz w:val="44"/>
          <w:szCs w:val="44"/>
          <w:lang w:eastAsia="zh-CN"/>
        </w:rPr>
        <w:t>湖州师范学院艺术学院“十四五”规划</w:t>
      </w:r>
    </w:p>
    <w:p>
      <w:pPr>
        <w:spacing w:line="520" w:lineRule="exact"/>
        <w:jc w:val="center"/>
        <w:rPr>
          <w:rFonts w:hint="eastAsia" w:ascii="方正小标宋简体" w:hAnsi="宋体" w:eastAsia="方正小标宋简体"/>
          <w:b/>
          <w:bCs/>
          <w:spacing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宋体" w:eastAsia="仿宋_GB2312"/>
          <w:sz w:val="32"/>
          <w:szCs w:val="32"/>
          <w:lang w:val="en-US"/>
        </w:rPr>
      </w:pPr>
      <w:r>
        <w:rPr>
          <w:rFonts w:hint="eastAsia" w:ascii="仿宋_GB2312" w:hAnsi="宋体" w:eastAsia="仿宋_GB2312"/>
          <w:sz w:val="32"/>
          <w:szCs w:val="32"/>
          <w:lang w:eastAsia="zh-CN"/>
        </w:rPr>
        <w:t>各</w:t>
      </w:r>
      <w:r>
        <w:rPr>
          <w:rFonts w:hint="eastAsia" w:ascii="仿宋_GB2312" w:hAnsi="宋体" w:eastAsia="仿宋_GB2312"/>
          <w:sz w:val="32"/>
          <w:szCs w:val="32"/>
          <w:lang w:val="en-US" w:eastAsia="zh-CN"/>
        </w:rPr>
        <w:t>系、办公室、实验保障管理中心：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《湖州师范学院艺术学院“十四五”规划》已经艺术学院第六届教职工代表大会审议通过、党政联席会议通过，现印发给你们，请遵照执行。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641" w:leftChars="0" w:firstLine="640" w:firstLineChars="200"/>
        <w:textAlignment w:val="auto"/>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0" w:firstLineChars="1500"/>
        <w:textAlignment w:val="auto"/>
        <w:rPr>
          <w:rFonts w:hint="eastAsia" w:ascii="仿宋_GB2312" w:eastAsia="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0" w:firstLineChars="1500"/>
        <w:textAlignment w:val="auto"/>
        <w:rPr>
          <w:rFonts w:hint="eastAsia" w:ascii="仿宋_GB2312" w:eastAsia="仿宋_GB2312"/>
          <w:sz w:val="32"/>
          <w:szCs w:val="32"/>
        </w:rPr>
      </w:pPr>
      <w:r>
        <w:rPr>
          <w:rFonts w:hint="eastAsia" w:ascii="仿宋_GB2312" w:eastAsia="仿宋_GB2312"/>
          <w:sz w:val="32"/>
          <w:szCs w:val="32"/>
        </w:rPr>
        <w:t>湖州师范学院艺术学院</w:t>
      </w:r>
    </w:p>
    <w:p>
      <w:pPr>
        <w:keepNext w:val="0"/>
        <w:keepLines w:val="0"/>
        <w:pageBreakBefore w:val="0"/>
        <w:widowControl w:val="0"/>
        <w:kinsoku/>
        <w:wordWrap/>
        <w:overflowPunct/>
        <w:topLinePunct w:val="0"/>
        <w:autoSpaceDE/>
        <w:autoSpaceDN/>
        <w:bidi w:val="0"/>
        <w:adjustRightInd/>
        <w:snapToGrid/>
        <w:spacing w:line="520" w:lineRule="exact"/>
        <w:ind w:right="640"/>
        <w:jc w:val="center"/>
        <w:textAlignment w:val="auto"/>
        <w:rPr>
          <w:rFonts w:hint="default" w:ascii="仿宋" w:hAnsi="仿宋" w:eastAsia="仿宋"/>
          <w:sz w:val="28"/>
          <w:szCs w:val="28"/>
          <w:u w:val="single"/>
          <w:lang w:val="en-US"/>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附件：</w:t>
      </w:r>
      <w:r>
        <w:rPr>
          <w:rFonts w:hint="eastAsia" w:ascii="仿宋_GB2312" w:hAnsi="仿宋" w:eastAsia="仿宋_GB2312"/>
          <w:sz w:val="32"/>
          <w:szCs w:val="32"/>
          <w:lang w:val="en-US" w:eastAsia="zh-CN"/>
        </w:rPr>
        <w:t>《湖州师范学院艺术学院“十四五”规划》</w:t>
      </w:r>
    </w:p>
    <w:p>
      <w:pPr>
        <w:spacing w:line="440" w:lineRule="exact"/>
        <w:rPr>
          <w:rFonts w:hint="eastAsia" w:ascii="仿宋" w:hAnsi="仿宋" w:eastAsia="仿宋"/>
          <w:sz w:val="28"/>
          <w:szCs w:val="28"/>
          <w:u w:val="single"/>
        </w:rPr>
      </w:pPr>
    </w:p>
    <w:p>
      <w:pPr>
        <w:spacing w:line="100" w:lineRule="exact"/>
        <w:ind w:left="-109" w:leftChars="-52"/>
        <w:rPr>
          <w:rFonts w:hint="eastAsia" w:ascii="黑体" w:eastAsia="黑体"/>
          <w:b/>
          <w:sz w:val="32"/>
          <w:u w:val="single"/>
        </w:rPr>
      </w:pPr>
    </w:p>
    <w:p>
      <w:pPr>
        <w:pStyle w:val="9"/>
        <w:jc w:val="both"/>
        <w:rPr>
          <w:sz w:val="52"/>
          <w:szCs w:val="52"/>
        </w:rPr>
      </w:pPr>
      <w:r>
        <w:rPr>
          <w:rFonts w:hint="eastAsia"/>
          <w:sz w:val="48"/>
          <w:szCs w:val="48"/>
        </w:rPr>
        <w:t>湖州师范学院艺术学院“十四五”规划</w:t>
      </w:r>
    </w:p>
    <w:p>
      <w:pPr>
        <w:pStyle w:val="9"/>
        <w:jc w:val="center"/>
      </w:pPr>
      <w:r>
        <w:rPr>
          <w:rFonts w:hint="eastAsia"/>
        </w:rPr>
        <w:t xml:space="preserve"> </w:t>
      </w:r>
    </w:p>
    <w:p>
      <w:pPr>
        <w:pStyle w:val="9"/>
        <w:jc w:val="center"/>
      </w:pPr>
    </w:p>
    <w:p>
      <w:pPr>
        <w:pStyle w:val="9"/>
        <w:spacing w:line="480" w:lineRule="exact"/>
        <w:jc w:val="left"/>
        <w:rPr>
          <w:rFonts w:hint="eastAsia" w:ascii="仿宋_GB2312" w:eastAsia="仿宋_GB2312" w:cs="仿宋_GB2312"/>
          <w:sz w:val="32"/>
          <w:szCs w:val="32"/>
          <w:lang w:eastAsia="zh-CN"/>
        </w:rPr>
      </w:pPr>
      <w:r>
        <w:rPr>
          <w:rFonts w:hint="eastAsia"/>
          <w:sz w:val="32"/>
          <w:szCs w:val="32"/>
        </w:rPr>
        <w:t>序言</w:t>
      </w:r>
      <w:r>
        <w:rPr>
          <w:sz w:val="32"/>
          <w:szCs w:val="32"/>
        </w:rPr>
        <w:t xml:space="preserve"> </w:t>
      </w:r>
      <w:r>
        <w:rPr>
          <w:rFonts w:ascii="仿宋_GB2312" w:eastAsia="仿宋_GB2312" w:cs="仿宋_GB2312"/>
          <w:sz w:val="32"/>
          <w:szCs w:val="32"/>
        </w:rPr>
        <w:t>...........................................</w:t>
      </w:r>
      <w:r>
        <w:rPr>
          <w:rFonts w:hint="eastAsia" w:ascii="仿宋_GB2312" w:eastAsia="仿宋_GB2312" w:cs="仿宋_GB2312"/>
          <w:sz w:val="32"/>
          <w:szCs w:val="32"/>
          <w:lang w:val="en-US" w:eastAsia="zh-CN"/>
        </w:rPr>
        <w:t>3</w:t>
      </w:r>
    </w:p>
    <w:p>
      <w:pPr>
        <w:pStyle w:val="9"/>
        <w:spacing w:line="480" w:lineRule="exact"/>
        <w:jc w:val="left"/>
        <w:rPr>
          <w:rFonts w:ascii="仿宋_GB2312" w:eastAsia="仿宋_GB2312" w:cs="仿宋_GB2312"/>
          <w:sz w:val="32"/>
          <w:szCs w:val="32"/>
        </w:rPr>
      </w:pPr>
      <w:r>
        <w:rPr>
          <w:rFonts w:hint="eastAsia"/>
          <w:sz w:val="32"/>
          <w:szCs w:val="32"/>
        </w:rPr>
        <w:t>第一部分</w:t>
      </w:r>
      <w:r>
        <w:rPr>
          <w:sz w:val="32"/>
          <w:szCs w:val="32"/>
        </w:rPr>
        <w:t xml:space="preserve"> </w:t>
      </w:r>
      <w:r>
        <w:rPr>
          <w:rFonts w:hint="eastAsia"/>
          <w:sz w:val="32"/>
          <w:szCs w:val="32"/>
        </w:rPr>
        <w:t>发展基础和发展形势</w:t>
      </w:r>
      <w:r>
        <w:rPr>
          <w:sz w:val="32"/>
          <w:szCs w:val="32"/>
        </w:rPr>
        <w:t xml:space="preserve"> </w:t>
      </w:r>
      <w:r>
        <w:rPr>
          <w:rFonts w:ascii="仿宋_GB2312" w:eastAsia="仿宋_GB2312" w:cs="仿宋_GB2312"/>
          <w:sz w:val="32"/>
          <w:szCs w:val="32"/>
        </w:rPr>
        <w:t>....................</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 xml:space="preserve"> </w:t>
      </w:r>
    </w:p>
    <w:p>
      <w:pPr>
        <w:pStyle w:val="9"/>
        <w:spacing w:line="480" w:lineRule="exact"/>
        <w:jc w:val="left"/>
        <w:rPr>
          <w:rFonts w:hint="eastAsia" w:ascii="仿宋_GB2312" w:eastAsia="仿宋_GB2312" w:cs="仿宋_GB2312"/>
          <w:sz w:val="32"/>
          <w:szCs w:val="32"/>
          <w:lang w:eastAsia="zh-CN"/>
        </w:rPr>
      </w:pPr>
      <w:r>
        <w:rPr>
          <w:rFonts w:hint="eastAsia" w:ascii="仿宋_GB2312" w:eastAsia="仿宋_GB2312" w:cs="仿宋_GB2312"/>
          <w:sz w:val="32"/>
          <w:szCs w:val="32"/>
        </w:rPr>
        <w:t>一、</w:t>
      </w:r>
      <w:r>
        <w:rPr>
          <w:rFonts w:hint="eastAsia" w:ascii="仿宋_GB2312" w:eastAsia="仿宋_GB2312" w:cs="仿宋_GB2312"/>
          <w:b/>
          <w:sz w:val="32"/>
          <w:szCs w:val="32"/>
        </w:rPr>
        <w:t>发展基础</w:t>
      </w:r>
      <w:r>
        <w:rPr>
          <w:rFonts w:ascii="仿宋_GB2312" w:eastAsia="仿宋_GB2312" w:cs="仿宋_GB2312"/>
          <w:b/>
          <w:sz w:val="32"/>
          <w:szCs w:val="32"/>
        </w:rPr>
        <w:t xml:space="preserve"> </w:t>
      </w:r>
      <w:r>
        <w:rPr>
          <w:rFonts w:ascii="仿宋_GB2312" w:eastAsia="仿宋_GB2312" w:cs="仿宋_GB2312"/>
          <w:sz w:val="32"/>
          <w:szCs w:val="32"/>
        </w:rPr>
        <w:t>.............................. ....</w:t>
      </w:r>
      <w:r>
        <w:rPr>
          <w:rFonts w:hint="eastAsia" w:ascii="仿宋_GB2312" w:eastAsia="仿宋_GB2312" w:cs="仿宋_GB2312"/>
          <w:sz w:val="32"/>
          <w:szCs w:val="32"/>
          <w:lang w:val="en-US" w:eastAsia="zh-CN"/>
        </w:rPr>
        <w:t>4</w:t>
      </w:r>
    </w:p>
    <w:p>
      <w:pPr>
        <w:pStyle w:val="9"/>
        <w:spacing w:line="480" w:lineRule="exact"/>
        <w:jc w:val="left"/>
        <w:rPr>
          <w:rFonts w:ascii="仿宋_GB2312" w:eastAsia="仿宋_GB2312" w:cs="仿宋_GB2312"/>
          <w:sz w:val="32"/>
          <w:szCs w:val="32"/>
        </w:rPr>
      </w:pPr>
      <w:r>
        <w:rPr>
          <w:rFonts w:hint="eastAsia" w:ascii="仿宋_GB2312" w:eastAsia="仿宋_GB2312" w:cs="仿宋_GB2312"/>
          <w:sz w:val="32"/>
          <w:szCs w:val="32"/>
        </w:rPr>
        <w:t>二、</w:t>
      </w:r>
      <w:r>
        <w:rPr>
          <w:rFonts w:hint="eastAsia" w:ascii="仿宋_GB2312" w:eastAsia="仿宋_GB2312" w:cs="仿宋_GB2312"/>
          <w:b/>
          <w:sz w:val="32"/>
          <w:szCs w:val="32"/>
        </w:rPr>
        <w:t>发展机遇与挑战</w:t>
      </w:r>
      <w:r>
        <w:rPr>
          <w:rFonts w:ascii="仿宋_GB2312" w:eastAsia="仿宋_GB2312" w:cs="仿宋_GB2312"/>
          <w:sz w:val="32"/>
          <w:szCs w:val="32"/>
        </w:rPr>
        <w:t xml:space="preserve"> .............................</w:t>
      </w:r>
      <w:r>
        <w:rPr>
          <w:rFonts w:hint="eastAsia" w:ascii="仿宋_GB2312" w:eastAsia="仿宋_GB2312" w:cs="仿宋_GB2312"/>
          <w:sz w:val="32"/>
          <w:szCs w:val="32"/>
        </w:rPr>
        <w:t>8</w:t>
      </w:r>
      <w:r>
        <w:rPr>
          <w:rFonts w:ascii="仿宋_GB2312" w:eastAsia="仿宋_GB2312" w:cs="仿宋_GB2312"/>
          <w:sz w:val="32"/>
          <w:szCs w:val="32"/>
        </w:rPr>
        <w:t xml:space="preserve"> </w:t>
      </w:r>
      <w:r>
        <w:rPr>
          <w:rFonts w:hint="eastAsia" w:ascii="仿宋_GB2312" w:eastAsia="仿宋_GB2312" w:cs="仿宋_GB2312"/>
          <w:sz w:val="32"/>
          <w:szCs w:val="32"/>
        </w:rPr>
        <w:t xml:space="preserve"> </w:t>
      </w:r>
    </w:p>
    <w:p>
      <w:pPr>
        <w:pStyle w:val="9"/>
        <w:spacing w:line="480" w:lineRule="exact"/>
        <w:jc w:val="left"/>
        <w:rPr>
          <w:rFonts w:ascii="仿宋_GB2312" w:eastAsia="仿宋_GB2312" w:cs="仿宋_GB2312"/>
          <w:sz w:val="32"/>
          <w:szCs w:val="32"/>
        </w:rPr>
      </w:pPr>
      <w:r>
        <w:rPr>
          <w:rFonts w:hint="eastAsia"/>
          <w:sz w:val="32"/>
          <w:szCs w:val="32"/>
        </w:rPr>
        <w:t>第二部分</w:t>
      </w:r>
      <w:r>
        <w:rPr>
          <w:sz w:val="32"/>
          <w:szCs w:val="32"/>
        </w:rPr>
        <w:t xml:space="preserve"> </w:t>
      </w:r>
      <w:r>
        <w:rPr>
          <w:rFonts w:hint="eastAsia"/>
          <w:sz w:val="32"/>
          <w:szCs w:val="32"/>
        </w:rPr>
        <w:t>指导思想与发展目标</w:t>
      </w:r>
      <w:r>
        <w:rPr>
          <w:sz w:val="32"/>
          <w:szCs w:val="32"/>
        </w:rPr>
        <w:t xml:space="preserve"> </w:t>
      </w:r>
      <w:r>
        <w:rPr>
          <w:rFonts w:ascii="仿宋_GB2312" w:eastAsia="仿宋_GB2312" w:cs="仿宋_GB2312"/>
          <w:sz w:val="32"/>
          <w:szCs w:val="32"/>
        </w:rPr>
        <w:t>..................</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11</w:t>
      </w:r>
      <w:r>
        <w:rPr>
          <w:rFonts w:ascii="仿宋_GB2312" w:eastAsia="仿宋_GB2312" w:cs="仿宋_GB2312"/>
          <w:sz w:val="32"/>
          <w:szCs w:val="32"/>
        </w:rPr>
        <w:t xml:space="preserve"> </w:t>
      </w:r>
    </w:p>
    <w:p>
      <w:pPr>
        <w:pStyle w:val="9"/>
        <w:spacing w:line="480" w:lineRule="exact"/>
        <w:jc w:val="left"/>
        <w:rPr>
          <w:rFonts w:ascii="仿宋_GB2312" w:eastAsia="仿宋_GB2312" w:cs="仿宋_GB2312"/>
          <w:sz w:val="32"/>
          <w:szCs w:val="32"/>
        </w:rPr>
      </w:pPr>
      <w:r>
        <w:rPr>
          <w:rFonts w:hint="eastAsia" w:ascii="仿宋_GB2312" w:eastAsia="仿宋_GB2312" w:cs="仿宋_GB2312"/>
          <w:sz w:val="32"/>
          <w:szCs w:val="32"/>
        </w:rPr>
        <w:t>一、</w:t>
      </w:r>
      <w:r>
        <w:rPr>
          <w:rFonts w:hint="eastAsia" w:ascii="仿宋_GB2312" w:eastAsia="仿宋_GB2312" w:cs="仿宋_GB2312"/>
          <w:b/>
          <w:sz w:val="32"/>
          <w:szCs w:val="32"/>
        </w:rPr>
        <w:t>指导思想</w:t>
      </w:r>
      <w:r>
        <w:rPr>
          <w:rFonts w:ascii="仿宋_GB2312" w:eastAsia="仿宋_GB2312" w:cs="仿宋_GB2312"/>
          <w:sz w:val="32"/>
          <w:szCs w:val="32"/>
        </w:rPr>
        <w:t xml:space="preserve"> ..................................</w:t>
      </w:r>
      <w:r>
        <w:rPr>
          <w:rFonts w:hint="eastAsia" w:ascii="仿宋_GB2312" w:eastAsia="仿宋_GB2312" w:cs="仿宋_GB2312"/>
          <w:sz w:val="32"/>
          <w:szCs w:val="32"/>
          <w:lang w:val="en-US" w:eastAsia="zh-CN"/>
        </w:rPr>
        <w:t>11</w:t>
      </w:r>
      <w:r>
        <w:rPr>
          <w:rFonts w:ascii="仿宋_GB2312" w:eastAsia="仿宋_GB2312" w:cs="仿宋_GB2312"/>
          <w:sz w:val="32"/>
          <w:szCs w:val="32"/>
        </w:rPr>
        <w:t xml:space="preserve"> </w:t>
      </w:r>
      <w:r>
        <w:rPr>
          <w:rFonts w:hint="eastAsia" w:ascii="仿宋_GB2312" w:eastAsia="仿宋_GB2312" w:cs="仿宋_GB2312"/>
          <w:sz w:val="32"/>
          <w:szCs w:val="32"/>
        </w:rPr>
        <w:t xml:space="preserve"> </w:t>
      </w:r>
    </w:p>
    <w:p>
      <w:pPr>
        <w:pStyle w:val="9"/>
        <w:spacing w:line="480" w:lineRule="exact"/>
        <w:jc w:val="left"/>
        <w:rPr>
          <w:rFonts w:hint="eastAsia" w:ascii="仿宋_GB2312" w:eastAsia="仿宋_GB2312" w:cs="仿宋_GB2312"/>
          <w:sz w:val="32"/>
          <w:szCs w:val="32"/>
          <w:lang w:eastAsia="zh-CN"/>
        </w:rPr>
      </w:pPr>
      <w:r>
        <w:rPr>
          <w:rFonts w:hint="eastAsia" w:ascii="仿宋_GB2312" w:eastAsia="仿宋_GB2312" w:cs="仿宋_GB2312"/>
          <w:sz w:val="32"/>
          <w:szCs w:val="32"/>
        </w:rPr>
        <w:t>二、</w:t>
      </w:r>
      <w:r>
        <w:rPr>
          <w:rFonts w:hint="eastAsia" w:ascii="仿宋_GB2312" w:eastAsia="仿宋_GB2312" w:cs="仿宋_GB2312"/>
          <w:b/>
          <w:sz w:val="32"/>
          <w:szCs w:val="32"/>
        </w:rPr>
        <w:t>发展指标</w:t>
      </w:r>
      <w:r>
        <w:rPr>
          <w:rFonts w:ascii="仿宋_GB2312" w:eastAsia="仿宋_GB2312" w:cs="仿宋_GB2312"/>
          <w:sz w:val="32"/>
          <w:szCs w:val="32"/>
        </w:rPr>
        <w:t xml:space="preserve"> ..................................</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2</w:t>
      </w:r>
    </w:p>
    <w:p>
      <w:pPr>
        <w:pStyle w:val="9"/>
        <w:spacing w:line="480" w:lineRule="exact"/>
        <w:jc w:val="left"/>
        <w:rPr>
          <w:rFonts w:ascii="仿宋_GB2312" w:eastAsia="仿宋_GB2312" w:cs="仿宋_GB2312"/>
          <w:sz w:val="32"/>
          <w:szCs w:val="32"/>
        </w:rPr>
      </w:pPr>
      <w:r>
        <w:rPr>
          <w:rFonts w:hint="eastAsia"/>
          <w:sz w:val="32"/>
          <w:szCs w:val="32"/>
        </w:rPr>
        <w:t>第三部分</w:t>
      </w:r>
      <w:r>
        <w:rPr>
          <w:sz w:val="32"/>
          <w:szCs w:val="32"/>
        </w:rPr>
        <w:t xml:space="preserve"> </w:t>
      </w:r>
      <w:r>
        <w:rPr>
          <w:rFonts w:hint="eastAsia"/>
          <w:sz w:val="32"/>
          <w:szCs w:val="32"/>
        </w:rPr>
        <w:t>重点任务与主要工作</w:t>
      </w:r>
      <w:r>
        <w:rPr>
          <w:sz w:val="32"/>
          <w:szCs w:val="32"/>
        </w:rPr>
        <w:t xml:space="preserve"> </w:t>
      </w:r>
      <w:r>
        <w:rPr>
          <w:rFonts w:ascii="仿宋_GB2312" w:eastAsia="仿宋_GB2312" w:cs="仿宋_GB2312"/>
          <w:sz w:val="32"/>
          <w:szCs w:val="32"/>
        </w:rPr>
        <w:t>...................</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4</w:t>
      </w:r>
      <w:r>
        <w:rPr>
          <w:rFonts w:ascii="仿宋_GB2312" w:eastAsia="仿宋_GB2312" w:cs="仿宋_GB2312"/>
          <w:sz w:val="32"/>
          <w:szCs w:val="32"/>
        </w:rPr>
        <w:t xml:space="preserve"> </w:t>
      </w:r>
      <w:r>
        <w:rPr>
          <w:rFonts w:hint="eastAsia" w:ascii="仿宋_GB2312" w:eastAsia="仿宋_GB2312" w:cs="仿宋_GB2312"/>
          <w:sz w:val="32"/>
          <w:szCs w:val="32"/>
        </w:rPr>
        <w:t xml:space="preserve"> </w:t>
      </w:r>
      <w:r>
        <w:rPr>
          <w:rFonts w:ascii="仿宋_GB2312" w:eastAsia="仿宋_GB2312" w:cs="仿宋_GB2312"/>
          <w:sz w:val="32"/>
          <w:szCs w:val="32"/>
        </w:rPr>
        <w:t xml:space="preserve"> </w:t>
      </w:r>
    </w:p>
    <w:p>
      <w:pPr>
        <w:pStyle w:val="9"/>
        <w:numPr>
          <w:ilvl w:val="0"/>
          <w:numId w:val="1"/>
        </w:numPr>
        <w:spacing w:line="480" w:lineRule="exact"/>
        <w:jc w:val="left"/>
        <w:rPr>
          <w:rFonts w:ascii="仿宋_GB2312" w:eastAsia="仿宋_GB2312" w:cs="仿宋_GB2312"/>
          <w:sz w:val="32"/>
          <w:szCs w:val="32"/>
        </w:rPr>
      </w:pPr>
      <w:r>
        <w:rPr>
          <w:rFonts w:hint="eastAsia" w:ascii="仿宋_GB2312" w:eastAsia="仿宋_GB2312" w:cs="仿宋_GB2312"/>
          <w:b/>
          <w:sz w:val="32"/>
          <w:szCs w:val="32"/>
        </w:rPr>
        <w:t>重点任务</w:t>
      </w:r>
      <w:r>
        <w:rPr>
          <w:rFonts w:ascii="仿宋_GB2312" w:eastAsia="仿宋_GB2312" w:cs="仿宋_GB2312"/>
          <w:sz w:val="32"/>
          <w:szCs w:val="32"/>
        </w:rPr>
        <w:t xml:space="preserve"> </w:t>
      </w:r>
      <w:r>
        <w:rPr>
          <w:rFonts w:hint="eastAsia" w:ascii="仿宋_GB2312" w:eastAsia="仿宋_GB2312" w:cs="仿宋_GB2312"/>
          <w:sz w:val="32"/>
          <w:szCs w:val="32"/>
          <w:lang w:val="en-US" w:eastAsia="zh-CN"/>
        </w:rPr>
        <w:t>.</w:t>
      </w:r>
      <w:r>
        <w:rPr>
          <w:rFonts w:ascii="仿宋_GB2312" w:eastAsia="仿宋_GB2312" w:cs="仿宋_GB2312"/>
          <w:sz w:val="32"/>
          <w:szCs w:val="32"/>
        </w:rPr>
        <w:t>........... ....................</w:t>
      </w:r>
      <w:r>
        <w:rPr>
          <w:rFonts w:hint="eastAsia" w:ascii="仿宋_GB2312" w:eastAsia="仿宋_GB2312" w:cs="仿宋_GB2312"/>
          <w:sz w:val="32"/>
          <w:szCs w:val="32"/>
          <w:lang w:val="en-US" w:eastAsia="zh-CN"/>
        </w:rPr>
        <w:t>14</w:t>
      </w:r>
    </w:p>
    <w:p>
      <w:pPr>
        <w:pStyle w:val="9"/>
        <w:numPr>
          <w:ilvl w:val="0"/>
          <w:numId w:val="2"/>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 xml:space="preserve">硕士领域拓展工程 </w:t>
      </w:r>
      <w:r>
        <w:rPr>
          <w:rFonts w:ascii="仿宋_GB2312" w:eastAsia="仿宋_GB2312" w:cs="仿宋_GB2312"/>
          <w:sz w:val="32"/>
          <w:szCs w:val="32"/>
        </w:rPr>
        <w:t>.......................</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4</w:t>
      </w:r>
    </w:p>
    <w:p>
      <w:pPr>
        <w:pStyle w:val="9"/>
        <w:numPr>
          <w:ilvl w:val="0"/>
          <w:numId w:val="2"/>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 xml:space="preserve">培养质量提升工程 </w:t>
      </w:r>
      <w:r>
        <w:rPr>
          <w:rFonts w:ascii="仿宋_GB2312" w:eastAsia="仿宋_GB2312" w:cs="仿宋_GB2312"/>
          <w:sz w:val="32"/>
          <w:szCs w:val="32"/>
        </w:rPr>
        <w:t>.......................</w:t>
      </w:r>
      <w:r>
        <w:rPr>
          <w:rFonts w:hint="eastAsia" w:ascii="仿宋_GB2312" w:eastAsia="仿宋_GB2312" w:cs="仿宋_GB2312"/>
          <w:sz w:val="32"/>
          <w:szCs w:val="32"/>
        </w:rPr>
        <w:t>14</w:t>
      </w:r>
    </w:p>
    <w:p>
      <w:pPr>
        <w:pStyle w:val="9"/>
        <w:numPr>
          <w:ilvl w:val="0"/>
          <w:numId w:val="2"/>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 xml:space="preserve">师资团队优化工程 </w:t>
      </w:r>
      <w:r>
        <w:rPr>
          <w:rFonts w:ascii="仿宋_GB2312" w:eastAsia="仿宋_GB2312" w:cs="仿宋_GB2312"/>
          <w:sz w:val="32"/>
          <w:szCs w:val="32"/>
        </w:rPr>
        <w:t>.......................</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5</w:t>
      </w:r>
    </w:p>
    <w:p>
      <w:pPr>
        <w:pStyle w:val="9"/>
        <w:numPr>
          <w:ilvl w:val="0"/>
          <w:numId w:val="2"/>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 xml:space="preserve">科学研究创新工程 </w:t>
      </w:r>
      <w:r>
        <w:rPr>
          <w:rFonts w:ascii="仿宋_GB2312" w:eastAsia="仿宋_GB2312" w:cs="仿宋_GB2312"/>
          <w:sz w:val="32"/>
          <w:szCs w:val="32"/>
        </w:rPr>
        <w:t>.......................</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5</w:t>
      </w:r>
    </w:p>
    <w:p>
      <w:pPr>
        <w:pStyle w:val="9"/>
        <w:numPr>
          <w:ilvl w:val="0"/>
          <w:numId w:val="2"/>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 xml:space="preserve">服务地方接轨工程 </w:t>
      </w:r>
      <w:r>
        <w:rPr>
          <w:rFonts w:ascii="仿宋_GB2312" w:eastAsia="仿宋_GB2312" w:cs="仿宋_GB2312"/>
          <w:sz w:val="32"/>
          <w:szCs w:val="32"/>
        </w:rPr>
        <w:t>.......................</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6</w:t>
      </w:r>
    </w:p>
    <w:p>
      <w:pPr>
        <w:pStyle w:val="9"/>
        <w:numPr>
          <w:ilvl w:val="0"/>
          <w:numId w:val="1"/>
        </w:numPr>
        <w:spacing w:line="480" w:lineRule="exact"/>
        <w:jc w:val="left"/>
        <w:rPr>
          <w:rFonts w:ascii="仿宋_GB2312" w:eastAsia="仿宋_GB2312" w:cs="仿宋_GB2312"/>
          <w:b/>
          <w:sz w:val="32"/>
          <w:szCs w:val="32"/>
        </w:rPr>
      </w:pPr>
      <w:r>
        <w:rPr>
          <w:rFonts w:hint="eastAsia" w:ascii="仿宋_GB2312" w:eastAsia="仿宋_GB2312" w:cs="仿宋_GB2312"/>
          <w:b/>
          <w:sz w:val="32"/>
          <w:szCs w:val="32"/>
        </w:rPr>
        <w:t xml:space="preserve">主要工作 </w:t>
      </w:r>
      <w:r>
        <w:rPr>
          <w:rFonts w:ascii="仿宋_GB2312" w:eastAsia="仿宋_GB2312" w:cs="仿宋_GB2312"/>
          <w:sz w:val="32"/>
          <w:szCs w:val="32"/>
        </w:rPr>
        <w:t>............ ....................</w:t>
      </w:r>
      <w:r>
        <w:rPr>
          <w:rFonts w:hint="eastAsia" w:ascii="仿宋_GB2312" w:eastAsia="仿宋_GB2312" w:cs="仿宋_GB2312"/>
          <w:sz w:val="32"/>
          <w:szCs w:val="32"/>
        </w:rPr>
        <w:t>16</w:t>
      </w:r>
    </w:p>
    <w:p>
      <w:pPr>
        <w:pStyle w:val="9"/>
        <w:numPr>
          <w:ilvl w:val="0"/>
          <w:numId w:val="3"/>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人才引育有作为，团队结构再优化</w:t>
      </w:r>
      <w:r>
        <w:rPr>
          <w:rFonts w:ascii="仿宋_GB2312" w:eastAsia="仿宋_GB2312" w:cs="仿宋_GB2312"/>
          <w:sz w:val="32"/>
          <w:szCs w:val="32"/>
        </w:rPr>
        <w:t>..........</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7</w:t>
      </w:r>
    </w:p>
    <w:p>
      <w:pPr>
        <w:pStyle w:val="9"/>
        <w:numPr>
          <w:ilvl w:val="0"/>
          <w:numId w:val="3"/>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学科建设渐行稳，硕士领域全覆盖</w:t>
      </w:r>
      <w:r>
        <w:rPr>
          <w:rFonts w:ascii="仿宋_GB2312" w:eastAsia="仿宋_GB2312" w:cs="仿宋_GB2312"/>
          <w:sz w:val="32"/>
          <w:szCs w:val="32"/>
        </w:rPr>
        <w:t>..........</w:t>
      </w:r>
      <w:r>
        <w:rPr>
          <w:rFonts w:hint="eastAsia" w:ascii="仿宋_GB2312" w:eastAsia="仿宋_GB2312" w:cs="仿宋_GB2312"/>
          <w:sz w:val="32"/>
          <w:szCs w:val="32"/>
        </w:rPr>
        <w:t>17</w:t>
      </w:r>
    </w:p>
    <w:p>
      <w:pPr>
        <w:pStyle w:val="9"/>
        <w:numPr>
          <w:ilvl w:val="0"/>
          <w:numId w:val="3"/>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科学研究有创新，研究成果创新高</w:t>
      </w:r>
      <w:r>
        <w:rPr>
          <w:rFonts w:ascii="仿宋_GB2312" w:eastAsia="仿宋_GB2312" w:cs="仿宋_GB2312"/>
          <w:sz w:val="32"/>
          <w:szCs w:val="32"/>
        </w:rPr>
        <w:t>..........</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9</w:t>
      </w:r>
    </w:p>
    <w:p>
      <w:pPr>
        <w:pStyle w:val="9"/>
        <w:numPr>
          <w:ilvl w:val="0"/>
          <w:numId w:val="3"/>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人才培养重内涵，教学成果结新果</w:t>
      </w:r>
      <w:r>
        <w:rPr>
          <w:rFonts w:ascii="仿宋_GB2312" w:eastAsia="仿宋_GB2312" w:cs="仿宋_GB2312"/>
          <w:sz w:val="32"/>
          <w:szCs w:val="32"/>
        </w:rPr>
        <w:t>..........</w:t>
      </w:r>
      <w:r>
        <w:rPr>
          <w:rFonts w:hint="eastAsia" w:ascii="仿宋_GB2312" w:eastAsia="仿宋_GB2312" w:cs="仿宋_GB2312"/>
          <w:sz w:val="32"/>
          <w:szCs w:val="32"/>
        </w:rPr>
        <w:t>21</w:t>
      </w:r>
    </w:p>
    <w:p>
      <w:pPr>
        <w:pStyle w:val="9"/>
        <w:numPr>
          <w:ilvl w:val="0"/>
          <w:numId w:val="3"/>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党建思政新思路，凝心聚力保发展</w:t>
      </w:r>
      <w:r>
        <w:rPr>
          <w:rFonts w:ascii="仿宋_GB2312" w:eastAsia="仿宋_GB2312" w:cs="仿宋_GB2312"/>
          <w:sz w:val="32"/>
          <w:szCs w:val="32"/>
        </w:rPr>
        <w:t>..........</w:t>
      </w:r>
      <w:r>
        <w:rPr>
          <w:rFonts w:hint="eastAsia" w:ascii="仿宋_GB2312" w:eastAsia="仿宋_GB2312" w:cs="仿宋_GB2312"/>
          <w:sz w:val="32"/>
          <w:szCs w:val="32"/>
        </w:rPr>
        <w:t>23</w:t>
      </w:r>
    </w:p>
    <w:p>
      <w:pPr>
        <w:pStyle w:val="9"/>
        <w:numPr>
          <w:ilvl w:val="0"/>
          <w:numId w:val="3"/>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学生工作抓</w:t>
      </w:r>
      <w:r>
        <w:rPr>
          <w:rFonts w:hint="eastAsia" w:ascii="仿宋_GB2312" w:eastAsia="仿宋_GB2312" w:cs="仿宋_GB2312"/>
          <w:sz w:val="32"/>
          <w:szCs w:val="32"/>
          <w:lang w:val="en-US" w:eastAsia="zh-CN"/>
        </w:rPr>
        <w:t>实效</w:t>
      </w:r>
      <w:r>
        <w:rPr>
          <w:rFonts w:hint="eastAsia" w:ascii="仿宋_GB2312" w:eastAsia="仿宋_GB2312" w:cs="仿宋_GB2312"/>
          <w:sz w:val="32"/>
          <w:szCs w:val="32"/>
        </w:rPr>
        <w:t>，特色平台助成长</w:t>
      </w:r>
      <w:r>
        <w:rPr>
          <w:rFonts w:ascii="仿宋_GB2312" w:eastAsia="仿宋_GB2312" w:cs="仿宋_GB2312"/>
          <w:sz w:val="32"/>
          <w:szCs w:val="32"/>
        </w:rPr>
        <w:t>..........</w:t>
      </w:r>
      <w:r>
        <w:rPr>
          <w:rFonts w:hint="eastAsia" w:ascii="仿宋_GB2312" w:eastAsia="仿宋_GB2312" w:cs="仿宋_GB2312"/>
          <w:sz w:val="32"/>
          <w:szCs w:val="32"/>
        </w:rPr>
        <w:t>25</w:t>
      </w:r>
    </w:p>
    <w:p>
      <w:pPr>
        <w:pStyle w:val="9"/>
        <w:numPr>
          <w:ilvl w:val="0"/>
          <w:numId w:val="3"/>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文化建设新举措，社会影响效应强</w:t>
      </w:r>
      <w:r>
        <w:rPr>
          <w:rFonts w:ascii="仿宋_GB2312" w:eastAsia="仿宋_GB2312" w:cs="仿宋_GB2312"/>
          <w:sz w:val="32"/>
          <w:szCs w:val="32"/>
        </w:rPr>
        <w:t>..........</w:t>
      </w:r>
      <w:r>
        <w:rPr>
          <w:rFonts w:hint="eastAsia" w:ascii="仿宋_GB2312" w:eastAsia="仿宋_GB2312" w:cs="仿宋_GB2312"/>
          <w:sz w:val="32"/>
          <w:szCs w:val="32"/>
        </w:rPr>
        <w:t>26</w:t>
      </w:r>
    </w:p>
    <w:p>
      <w:pPr>
        <w:pStyle w:val="9"/>
        <w:numPr>
          <w:ilvl w:val="0"/>
          <w:numId w:val="3"/>
        </w:numPr>
        <w:spacing w:line="480" w:lineRule="exact"/>
        <w:jc w:val="left"/>
        <w:rPr>
          <w:rFonts w:ascii="仿宋_GB2312" w:eastAsia="仿宋_GB2312" w:cs="仿宋_GB2312"/>
          <w:sz w:val="32"/>
          <w:szCs w:val="32"/>
        </w:rPr>
      </w:pPr>
      <w:r>
        <w:rPr>
          <w:rFonts w:hint="eastAsia" w:ascii="仿宋_GB2312" w:eastAsia="仿宋_GB2312" w:cs="仿宋_GB2312"/>
          <w:sz w:val="32"/>
          <w:szCs w:val="32"/>
        </w:rPr>
        <w:t>管理服务精细化，量化考核明贡献</w:t>
      </w:r>
      <w:r>
        <w:rPr>
          <w:rFonts w:ascii="仿宋_GB2312" w:eastAsia="仿宋_GB2312" w:cs="仿宋_GB2312"/>
          <w:sz w:val="32"/>
          <w:szCs w:val="32"/>
        </w:rPr>
        <w:t>..........</w:t>
      </w:r>
      <w:r>
        <w:rPr>
          <w:rFonts w:hint="eastAsia" w:ascii="仿宋_GB2312" w:eastAsia="仿宋_GB2312" w:cs="仿宋_GB2312"/>
          <w:sz w:val="32"/>
          <w:szCs w:val="32"/>
        </w:rPr>
        <w:t>27</w:t>
      </w:r>
    </w:p>
    <w:p>
      <w:pPr>
        <w:spacing w:line="520" w:lineRule="exact"/>
        <w:jc w:val="left"/>
        <w:rPr>
          <w:rFonts w:ascii="仿宋_GB2312" w:eastAsia="仿宋_GB2312" w:cs="仿宋_GB2312"/>
          <w:sz w:val="32"/>
          <w:szCs w:val="32"/>
        </w:rPr>
      </w:pPr>
      <w:r>
        <w:rPr>
          <w:rFonts w:hint="eastAsia"/>
          <w:sz w:val="32"/>
          <w:szCs w:val="32"/>
        </w:rPr>
        <w:t xml:space="preserve"> </w:t>
      </w:r>
    </w:p>
    <w:p>
      <w:pPr>
        <w:spacing w:line="400" w:lineRule="exact"/>
        <w:jc w:val="left"/>
        <w:rPr>
          <w:rFonts w:ascii="仿宋_GB2312" w:eastAsia="仿宋_GB2312" w:cs="仿宋_GB2312"/>
          <w:sz w:val="32"/>
          <w:szCs w:val="32"/>
        </w:rPr>
      </w:pPr>
    </w:p>
    <w:p>
      <w:pPr>
        <w:spacing w:line="400" w:lineRule="exact"/>
        <w:rPr>
          <w:rFonts w:ascii="仿宋_GB2312" w:eastAsia="仿宋_GB2312" w:cs="仿宋_GB2312"/>
          <w:sz w:val="32"/>
          <w:szCs w:val="32"/>
        </w:rPr>
      </w:pPr>
    </w:p>
    <w:p>
      <w:pPr>
        <w:pStyle w:val="9"/>
        <w:jc w:val="center"/>
        <w:rPr>
          <w:rFonts w:asciiTheme="majorEastAsia" w:hAnsiTheme="majorEastAsia" w:eastAsiaTheme="majorEastAsia"/>
          <w:b/>
          <w:sz w:val="48"/>
          <w:szCs w:val="48"/>
        </w:rPr>
      </w:pPr>
      <w:r>
        <w:rPr>
          <w:rFonts w:hint="eastAsia" w:asciiTheme="majorEastAsia" w:hAnsiTheme="majorEastAsia" w:eastAsiaTheme="majorEastAsia"/>
          <w:b/>
          <w:sz w:val="48"/>
          <w:szCs w:val="48"/>
        </w:rPr>
        <w:t>序言</w:t>
      </w:r>
    </w:p>
    <w:p>
      <w:pPr>
        <w:pStyle w:val="9"/>
        <w:jc w:val="center"/>
        <w:rPr>
          <w:rFonts w:asciiTheme="majorEastAsia" w:hAnsiTheme="majorEastAsia" w:eastAsiaTheme="majorEastAsia"/>
          <w:b/>
          <w:sz w:val="48"/>
          <w:szCs w:val="48"/>
        </w:rPr>
      </w:pPr>
    </w:p>
    <w:p>
      <w:pPr>
        <w:pStyle w:val="9"/>
        <w:ind w:firstLine="640" w:firstLineChars="200"/>
        <w:rPr>
          <w:rFonts w:ascii="仿宋_GB2312" w:eastAsia="仿宋_GB2312" w:cs="仿宋_GB2312"/>
          <w:sz w:val="32"/>
          <w:szCs w:val="32"/>
        </w:rPr>
      </w:pPr>
      <w:r>
        <w:rPr>
          <w:rFonts w:hint="eastAsia" w:ascii="仿宋_GB2312" w:eastAsia="仿宋_GB2312" w:cs="仿宋_GB2312"/>
          <w:sz w:val="32"/>
          <w:szCs w:val="32"/>
        </w:rPr>
        <w:t>“十四五”时期是浙江省忠实践行 “八八战略”、奋力</w:t>
      </w:r>
      <w:r>
        <w:rPr>
          <w:rFonts w:hint="eastAsia" w:ascii="仿宋_GB2312" w:hAnsi="仿宋" w:eastAsia="仿宋_GB2312" w:cs="Times New Roman"/>
          <w:color w:val="auto"/>
          <w:kern w:val="2"/>
          <w:sz w:val="32"/>
          <w:szCs w:val="32"/>
          <w:lang w:val="en-US" w:eastAsia="zh-CN" w:bidi="ar-SA"/>
        </w:rPr>
        <w:t>打造新时代全面展示中国特色社会主义制度优越性“重要窗口”的重要时期；也是学校全面深化教育教学改革，全力提升</w:t>
      </w:r>
      <w:r>
        <w:rPr>
          <w:rFonts w:hint="eastAsia" w:ascii="仿宋_GB2312" w:eastAsia="仿宋_GB2312" w:cs="仿宋_GB2312"/>
          <w:sz w:val="32"/>
          <w:szCs w:val="32"/>
        </w:rPr>
        <w:t>办学内涵水平，向着建成高水平“湖州师范大学”目标迈进的关键阶段。二十二年来，艺术学院积极与学校发展同频共振，贯彻落实各级教育会议精神，推进学院全面实现高质量跨越式发展，办学层次实现了从本科到研究生教育的跨越，有力呼应学校“优良师范传统、鲜明应用特色”的办学特色，为学校创建高水平“湖州师范大学”贡献艺术学院</w:t>
      </w:r>
      <w:r>
        <w:rPr>
          <w:rFonts w:hint="eastAsia" w:ascii="仿宋_GB2312" w:eastAsia="仿宋_GB2312" w:cs="仿宋_GB2312"/>
          <w:sz w:val="32"/>
          <w:szCs w:val="32"/>
          <w:lang w:val="en-US" w:eastAsia="zh-CN"/>
        </w:rPr>
        <w:t>的</w:t>
      </w:r>
      <w:r>
        <w:rPr>
          <w:rFonts w:hint="eastAsia" w:ascii="仿宋_GB2312" w:eastAsia="仿宋_GB2312" w:cs="仿宋_GB2312"/>
          <w:sz w:val="32"/>
          <w:szCs w:val="32"/>
        </w:rPr>
        <w:t xml:space="preserve">特殊力量。 </w:t>
      </w:r>
    </w:p>
    <w:p>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根据《湖州师范学院“十四五”规划》等战略部署，深入贯彻学校第四次党代会精神，结合艺术学院实际，制定本规划。全院上下须凝心聚力，直面挑战，抢抓机遇，深化改革，加快学院内涵发展，强化精细治理，提升学科核心竞争力，为加快创建在国内有一定影响、一定水平、在长三角地区有一定地位的“湖州师范大学艺术学院”而努力奋斗。</w:t>
      </w:r>
    </w:p>
    <w:p>
      <w:pPr>
        <w:rPr>
          <w:rFonts w:cs="仿宋_GB2312" w:asciiTheme="minorEastAsia" w:hAnsiTheme="minorEastAsia"/>
          <w:color w:val="000000"/>
          <w:kern w:val="0"/>
          <w:sz w:val="28"/>
          <w:szCs w:val="28"/>
        </w:rPr>
      </w:pPr>
    </w:p>
    <w:p>
      <w:pPr>
        <w:rPr>
          <w:rFonts w:cs="仿宋_GB2312" w:asciiTheme="minorEastAsia" w:hAnsiTheme="minorEastAsia"/>
          <w:color w:val="000000"/>
          <w:kern w:val="0"/>
          <w:sz w:val="28"/>
          <w:szCs w:val="28"/>
        </w:rPr>
      </w:pPr>
    </w:p>
    <w:p>
      <w:pPr>
        <w:rPr>
          <w:rFonts w:cs="仿宋_GB2312" w:asciiTheme="minorEastAsia" w:hAnsiTheme="minorEastAsia"/>
          <w:color w:val="000000"/>
          <w:kern w:val="0"/>
          <w:sz w:val="28"/>
          <w:szCs w:val="28"/>
        </w:rPr>
      </w:pPr>
    </w:p>
    <w:p>
      <w:pPr>
        <w:pStyle w:val="9"/>
        <w:jc w:val="center"/>
        <w:rPr>
          <w:rFonts w:hint="eastAsia" w:asciiTheme="majorEastAsia" w:hAnsiTheme="majorEastAsia" w:eastAsiaTheme="majorEastAsia"/>
          <w:b/>
          <w:sz w:val="44"/>
          <w:szCs w:val="44"/>
        </w:rPr>
      </w:pPr>
    </w:p>
    <w:p>
      <w:pPr>
        <w:pStyle w:val="9"/>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第一部分</w:t>
      </w:r>
      <w:r>
        <w:rPr>
          <w:rFonts w:asciiTheme="majorEastAsia" w:hAnsiTheme="majorEastAsia" w:eastAsiaTheme="majorEastAsia"/>
          <w:b/>
          <w:sz w:val="44"/>
          <w:szCs w:val="44"/>
        </w:rPr>
        <w:t xml:space="preserve"> </w:t>
      </w:r>
      <w:r>
        <w:rPr>
          <w:rFonts w:hint="eastAsia" w:asciiTheme="majorEastAsia" w:hAnsiTheme="majorEastAsia" w:eastAsiaTheme="majorEastAsia"/>
          <w:b/>
          <w:sz w:val="44"/>
          <w:szCs w:val="44"/>
        </w:rPr>
        <w:t>发展基础和发展形势</w:t>
      </w:r>
    </w:p>
    <w:p>
      <w:pPr>
        <w:pStyle w:val="9"/>
        <w:jc w:val="center"/>
        <w:rPr>
          <w:rFonts w:asciiTheme="majorEastAsia" w:hAnsiTheme="majorEastAsia" w:eastAsiaTheme="majorEastAsia"/>
          <w:b/>
          <w:sz w:val="48"/>
          <w:szCs w:val="48"/>
        </w:rPr>
      </w:pPr>
    </w:p>
    <w:p>
      <w:pPr>
        <w:pStyle w:val="10"/>
        <w:numPr>
          <w:ilvl w:val="0"/>
          <w:numId w:val="4"/>
        </w:numPr>
        <w:autoSpaceDE w:val="0"/>
        <w:autoSpaceDN w:val="0"/>
        <w:adjustRightInd w:val="0"/>
        <w:ind w:firstLineChars="0"/>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发展基础</w:t>
      </w:r>
    </w:p>
    <w:p>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十三五”期间，在学校党委、行政和各职能部门的正确领导下，学院党委行政带领和依靠全院师生员工，全力推进学科建设、师资队伍、人才培养、科学研究、服务地方、国际交流和党的建设等各项工作，完成了学院“十三五”规划确定的主要目标和重点任务，实现硕士</w:t>
      </w:r>
      <w:r>
        <w:rPr>
          <w:rFonts w:hint="eastAsia" w:ascii="仿宋_GB2312" w:eastAsia="仿宋_GB2312" w:cs="仿宋_GB2312"/>
          <w:color w:val="000000"/>
          <w:kern w:val="0"/>
          <w:sz w:val="32"/>
          <w:szCs w:val="32"/>
          <w:lang w:val="en-US" w:eastAsia="zh-CN"/>
        </w:rPr>
        <w:t>学位</w:t>
      </w:r>
      <w:r>
        <w:rPr>
          <w:rFonts w:hint="eastAsia" w:ascii="仿宋_GB2312" w:eastAsia="仿宋_GB2312" w:cs="仿宋_GB2312"/>
          <w:color w:val="000000"/>
          <w:kern w:val="0"/>
          <w:sz w:val="32"/>
          <w:szCs w:val="32"/>
        </w:rPr>
        <w:t xml:space="preserve">授权点、国家社科基金、百万横向项目等重大突破，办学水平显著增强，综合实力明显提高，社会声誉不断提升，为学院内涵发展与赶超发展奠定了坚实的基础。 </w:t>
      </w:r>
    </w:p>
    <w:p>
      <w:pPr>
        <w:pStyle w:val="10"/>
        <w:numPr>
          <w:ilvl w:val="0"/>
          <w:numId w:val="5"/>
        </w:numPr>
        <w:autoSpaceDE w:val="0"/>
        <w:autoSpaceDN w:val="0"/>
        <w:adjustRightInd w:val="0"/>
        <w:ind w:hanging="513" w:firstLineChars="0"/>
        <w:jc w:val="left"/>
        <w:rPr>
          <w:rFonts w:ascii="楷体_GB2312" w:eastAsia="楷体_GB2312" w:cs="楷体_GB2312"/>
          <w:b/>
          <w:color w:val="000000"/>
          <w:kern w:val="0"/>
          <w:sz w:val="32"/>
          <w:szCs w:val="32"/>
        </w:rPr>
      </w:pPr>
      <w:r>
        <w:rPr>
          <w:rFonts w:hint="eastAsia" w:ascii="楷体_GB2312" w:eastAsia="楷体_GB2312" w:cs="楷体_GB2312"/>
          <w:b/>
          <w:color w:val="000000"/>
          <w:kern w:val="0"/>
          <w:sz w:val="32"/>
          <w:szCs w:val="32"/>
        </w:rPr>
        <w:t xml:space="preserve">学科平台建设上了层次 </w:t>
      </w:r>
    </w:p>
    <w:p>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与学校成为硕士学位授予单位同时，艺术硕士（艺术设计领域）获批成为学校首轮六个硕士授权点之一，成功实现人才培养层次跨越式发展。学科结构优化、布局更加合理，现有3个一级学科，其中1个（设计学）市级重点学科，</w:t>
      </w:r>
      <w:r>
        <w:rPr>
          <w:rFonts w:hint="eastAsia" w:ascii="仿宋_GB2312" w:eastAsia="仿宋_GB2312" w:cs="仿宋_GB2312"/>
          <w:color w:val="000000"/>
          <w:kern w:val="0"/>
          <w:sz w:val="32"/>
          <w:szCs w:val="32"/>
          <w:lang w:val="en-US" w:eastAsia="zh-CN"/>
        </w:rPr>
        <w:t>1</w:t>
      </w:r>
      <w:r>
        <w:rPr>
          <w:rFonts w:hint="eastAsia" w:ascii="仿宋_GB2312" w:eastAsia="仿宋_GB2312" w:cs="仿宋_GB2312"/>
          <w:color w:val="000000"/>
          <w:kern w:val="0"/>
          <w:sz w:val="32"/>
          <w:szCs w:val="32"/>
        </w:rPr>
        <w:t>个校级（设计学）特色学科，1个（美术学）一般学科，基本形成艺术学科良性发展的格局。“艺术硕士”学位授权点获批，招生与培养工作稳健。“艺术硕士”于2017年10月获批，在艺术设计领域招生，现已招收国内全日制硕士生110人（含全校唯一推免生）、国际研究生36人，招生工作顺利。出台了一系列研究生培养制度，配备硕士生导师44人，落实研究生教室8间，研究生资料室建设正在推进，教学运行平稳，教学保障不断健全，办学层次实现提升。获省专业学位研究生优秀实践成果1项；举办研究生学术大讲堂8场、学术沙龙1次；学生主持市厅级项目1项、发表论文23篇、授权外观专利3项；获紫金奖·建筑及环境设计大赛铜奖1项，国家级学科竞赛优秀奖1项、省二等奖1项、三等奖4项。</w:t>
      </w:r>
    </w:p>
    <w:p>
      <w:pPr>
        <w:pStyle w:val="10"/>
        <w:numPr>
          <w:ilvl w:val="0"/>
          <w:numId w:val="5"/>
        </w:numPr>
        <w:autoSpaceDE w:val="0"/>
        <w:autoSpaceDN w:val="0"/>
        <w:adjustRightInd w:val="0"/>
        <w:ind w:hanging="513" w:firstLineChars="0"/>
        <w:jc w:val="left"/>
        <w:rPr>
          <w:rFonts w:ascii="楷体_GB2312" w:eastAsia="楷体_GB2312" w:cs="楷体_GB2312"/>
          <w:b/>
          <w:color w:val="000000"/>
          <w:kern w:val="0"/>
          <w:sz w:val="32"/>
          <w:szCs w:val="32"/>
        </w:rPr>
      </w:pPr>
      <w:r>
        <w:rPr>
          <w:rFonts w:hint="eastAsia" w:ascii="楷体_GB2312" w:eastAsia="楷体_GB2312" w:cs="楷体_GB2312"/>
          <w:b/>
          <w:color w:val="000000"/>
          <w:kern w:val="0"/>
          <w:sz w:val="32"/>
          <w:szCs w:val="32"/>
        </w:rPr>
        <w:t>师资团队实力有所增强</w:t>
      </w:r>
    </w:p>
    <w:p>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十三五期间，学院高层次人才引育成效明显。引进省级人才2人、高级职称教师16人，引进博士9人；柔性引进长江学者特聘教授1人；内培教授4人、副教授8人，毕业博士1人，新增在职攻读博士6人；新增市级人才4人、选派4位教师赴国（境）外访学交流。全院专任教师实现人人进学科，初步构建了省、市、校一体化的艺术创新领军人才教师队伍体系。2020年获得学校人才引育工作单项优秀奖。</w:t>
      </w:r>
    </w:p>
    <w:p>
      <w:pPr>
        <w:pStyle w:val="10"/>
        <w:numPr>
          <w:ilvl w:val="0"/>
          <w:numId w:val="5"/>
        </w:numPr>
        <w:autoSpaceDE w:val="0"/>
        <w:autoSpaceDN w:val="0"/>
        <w:adjustRightInd w:val="0"/>
        <w:ind w:hanging="371" w:firstLineChars="0"/>
        <w:jc w:val="left"/>
        <w:rPr>
          <w:rFonts w:ascii="楷体_GB2312" w:eastAsia="楷体_GB2312" w:cs="楷体_GB2312"/>
          <w:b/>
          <w:color w:val="000000"/>
          <w:kern w:val="0"/>
          <w:sz w:val="32"/>
          <w:szCs w:val="32"/>
        </w:rPr>
      </w:pPr>
      <w:r>
        <w:rPr>
          <w:rFonts w:hint="eastAsia" w:ascii="楷体_GB2312" w:eastAsia="楷体_GB2312" w:cs="楷体_GB2312"/>
          <w:b/>
          <w:color w:val="000000"/>
          <w:kern w:val="0"/>
          <w:sz w:val="32"/>
          <w:szCs w:val="32"/>
        </w:rPr>
        <w:t xml:space="preserve">人才培养改革成果丰硕 </w:t>
      </w:r>
    </w:p>
    <w:p>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学院始终秉持人才培养之中心地位，</w:t>
      </w:r>
      <w:r>
        <w:rPr>
          <w:rFonts w:ascii="仿宋_GB2312" w:eastAsia="仿宋_GB2312" w:cs="仿宋_GB2312"/>
          <w:color w:val="000000"/>
          <w:kern w:val="0"/>
          <w:sz w:val="32"/>
          <w:szCs w:val="32"/>
        </w:rPr>
        <w:t>2017</w:t>
      </w:r>
      <w:r>
        <w:rPr>
          <w:rFonts w:hint="eastAsia" w:ascii="仿宋_GB2312" w:eastAsia="仿宋_GB2312" w:cs="仿宋_GB2312"/>
          <w:color w:val="000000"/>
          <w:kern w:val="0"/>
          <w:sz w:val="32"/>
          <w:szCs w:val="32"/>
        </w:rPr>
        <w:t>年顺利通过教育部本科教学工作审核评估。</w:t>
      </w:r>
      <w:r>
        <w:rPr>
          <w:rFonts w:hint="eastAsia" w:ascii="仿宋_GB2312" w:hAnsi="仿宋_GB2312" w:eastAsia="仿宋_GB2312" w:cs="仿宋_GB2312"/>
          <w:color w:val="000000"/>
          <w:kern w:val="0"/>
          <w:sz w:val="32"/>
          <w:szCs w:val="32"/>
        </w:rPr>
        <w:t>探索</w:t>
      </w:r>
      <w:r>
        <w:rPr>
          <w:rFonts w:hint="eastAsia" w:cs="MS Mincho" w:asciiTheme="minorEastAsia" w:hAnsiTheme="minorEastAsia"/>
          <w:color w:val="000000"/>
          <w:kern w:val="0"/>
          <w:sz w:val="32"/>
          <w:szCs w:val="32"/>
        </w:rPr>
        <w:t>“</w:t>
      </w:r>
      <w:r>
        <w:rPr>
          <w:rFonts w:hint="eastAsia" w:ascii="仿宋_GB2312" w:hAnsi="仿宋_GB2312" w:eastAsia="仿宋_GB2312" w:cs="仿宋_GB2312"/>
          <w:color w:val="000000"/>
          <w:kern w:val="0"/>
          <w:sz w:val="32"/>
          <w:szCs w:val="32"/>
        </w:rPr>
        <w:t>高素质应用型艺术类人才培养模式”改革，</w:t>
      </w:r>
      <w:r>
        <w:rPr>
          <w:rFonts w:hint="eastAsia" w:ascii="仿宋_GB2312" w:eastAsia="仿宋_GB2312" w:cs="仿宋_GB2312"/>
          <w:color w:val="000000"/>
          <w:kern w:val="0"/>
          <w:sz w:val="32"/>
          <w:szCs w:val="32"/>
        </w:rPr>
        <w:t>积极筹建产业学院</w:t>
      </w:r>
      <w:r>
        <w:rPr>
          <w:rFonts w:hint="eastAsia" w:ascii="仿宋_GB2312" w:hAnsi="仿宋_GB2312" w:eastAsia="仿宋_GB2312" w:cs="仿宋_GB2312"/>
          <w:color w:val="000000"/>
          <w:kern w:val="0"/>
          <w:sz w:val="32"/>
          <w:szCs w:val="32"/>
        </w:rPr>
        <w:t>，推进人才培养过程闭环体系构建；修订、制定《艺术学院教学督导委员会工作规程》《艺术学院监考工作执行细则（修订）》等</w:t>
      </w:r>
      <w:r>
        <w:rPr>
          <w:rFonts w:ascii="仿宋_GB2312" w:hAnsi="仿宋_GB2312" w:eastAsia="仿宋_GB2312" w:cs="仿宋_GB2312"/>
          <w:color w:val="000000"/>
          <w:kern w:val="0"/>
          <w:sz w:val="32"/>
          <w:szCs w:val="32"/>
        </w:rPr>
        <w:t>8</w:t>
      </w:r>
      <w:r>
        <w:rPr>
          <w:rFonts w:hint="eastAsia" w:ascii="仿宋_GB2312" w:hAnsi="仿宋_GB2312" w:eastAsia="仿宋_GB2312" w:cs="仿宋_GB2312"/>
          <w:color w:val="000000"/>
          <w:kern w:val="0"/>
          <w:sz w:val="32"/>
          <w:szCs w:val="32"/>
        </w:rPr>
        <w:t>项</w:t>
      </w:r>
      <w:r>
        <w:rPr>
          <w:rFonts w:hint="eastAsia" w:ascii="仿宋_GB2312" w:hAnsi="仿宋_GB2312" w:eastAsia="仿宋_GB2312" w:cs="仿宋_GB2312"/>
          <w:kern w:val="0"/>
          <w:sz w:val="32"/>
          <w:szCs w:val="32"/>
        </w:rPr>
        <w:t>人</w:t>
      </w:r>
      <w:r>
        <w:rPr>
          <w:rFonts w:hint="eastAsia" w:ascii="仿宋_GB2312" w:hAnsi="仿宋_GB2312" w:eastAsia="仿宋_GB2312" w:cs="仿宋_GB2312"/>
          <w:color w:val="000000"/>
          <w:kern w:val="0"/>
          <w:sz w:val="32"/>
          <w:szCs w:val="32"/>
        </w:rPr>
        <w:t>才培养规章制度。人才培养质量</w:t>
      </w:r>
      <w:r>
        <w:rPr>
          <w:rFonts w:hint="eastAsia" w:ascii="仿宋_GB2312" w:hAnsi="仿宋_GB2312" w:eastAsia="仿宋_GB2312" w:cs="仿宋_GB2312"/>
          <w:color w:val="000000"/>
          <w:kern w:val="0"/>
          <w:sz w:val="32"/>
          <w:szCs w:val="32"/>
          <w:lang w:val="en-US" w:eastAsia="zh-CN"/>
        </w:rPr>
        <w:t>显著</w:t>
      </w:r>
      <w:r>
        <w:rPr>
          <w:rFonts w:hint="eastAsia" w:ascii="仿宋_GB2312" w:hAnsi="仿宋_GB2312" w:eastAsia="仿宋_GB2312" w:cs="仿宋_GB2312"/>
          <w:color w:val="000000"/>
          <w:kern w:val="0"/>
          <w:sz w:val="32"/>
          <w:szCs w:val="32"/>
        </w:rPr>
        <w:t>提升。</w:t>
      </w:r>
      <w:r>
        <w:rPr>
          <w:rFonts w:hint="eastAsia" w:ascii="仿宋_GB2312" w:eastAsia="仿宋_GB2312" w:cs="仿宋_GB2312"/>
          <w:color w:val="000000"/>
          <w:kern w:val="0"/>
          <w:sz w:val="32"/>
          <w:szCs w:val="32"/>
        </w:rPr>
        <w:t>牵头成</w:t>
      </w:r>
      <w:r>
        <w:rPr>
          <w:rFonts w:hint="eastAsia" w:ascii="仿宋_GB2312" w:hAnsi="仿宋_GB2312" w:eastAsia="仿宋_GB2312" w:cs="仿宋_GB2312"/>
          <w:color w:val="000000"/>
          <w:kern w:val="0"/>
          <w:sz w:val="32"/>
          <w:szCs w:val="32"/>
        </w:rPr>
        <w:t>立“环太湖设计联盟</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，打造环太湖地区高校艺术类学科“合作共赢、协作发展”的新平台。环境设计获评市重点专业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美术学（师范）、视觉传达、环境设计获评校一流专业。获教育部产学合作协同育人项目</w:t>
      </w:r>
      <w:r>
        <w:rPr>
          <w:rFonts w:ascii="仿宋_GB2312" w:hAnsi="仿宋_GB2312" w:eastAsia="仿宋_GB2312" w:cs="仿宋_GB2312"/>
          <w:color w:val="000000"/>
          <w:kern w:val="0"/>
          <w:sz w:val="32"/>
          <w:szCs w:val="32"/>
        </w:rPr>
        <w:t>6</w:t>
      </w:r>
      <w:r>
        <w:rPr>
          <w:rFonts w:hint="eastAsia" w:ascii="仿宋_GB2312" w:hAnsi="仿宋_GB2312" w:eastAsia="仿宋_GB2312" w:cs="仿宋_GB2312"/>
          <w:color w:val="000000"/>
          <w:kern w:val="0"/>
          <w:sz w:val="32"/>
          <w:szCs w:val="32"/>
        </w:rPr>
        <w:t>项、省精品在线开放课程</w:t>
      </w:r>
      <w:r>
        <w:rPr>
          <w:rFonts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rPr>
        <w:t>项、省一流课程建设</w:t>
      </w:r>
      <w:r>
        <w:rPr>
          <w:rFonts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rPr>
        <w:t>项、省教学改革项目</w:t>
      </w:r>
      <w:r>
        <w:rPr>
          <w:rFonts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rPr>
        <w:t>项、省课堂质量教学改革项目</w:t>
      </w:r>
      <w:r>
        <w:rPr>
          <w:rFonts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rPr>
        <w:t>项、省产学合作协同育人</w:t>
      </w:r>
      <w:r>
        <w:rPr>
          <w:rFonts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rPr>
        <w:t>项、省虚拟仿真实验教学项目</w:t>
      </w:r>
      <w:r>
        <w:rPr>
          <w:rFonts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rPr>
        <w:t>项、省高教学会“互联网</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教学”优秀案例二等奖</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项、省高教学会“互联网</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教学”示范课堂</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门、省高教学会高等教育研究课题</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项、校教学成果奖一等奖</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项、二等奖</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项。教师荣获国家级大学生创业优秀论文一等奖</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项、省微课比赛二等奖</w:t>
      </w:r>
      <w:r>
        <w:rPr>
          <w:rFonts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rPr>
        <w:t>项、校教坛新秀</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人。签约校外实践基地</w:t>
      </w:r>
      <w:r>
        <w:rPr>
          <w:rFonts w:ascii="仿宋_GB2312" w:hAnsi="仿宋_GB2312" w:eastAsia="仿宋_GB2312" w:cs="仿宋_GB2312"/>
          <w:color w:val="000000"/>
          <w:kern w:val="0"/>
          <w:sz w:val="32"/>
          <w:szCs w:val="32"/>
        </w:rPr>
        <w:t>23</w:t>
      </w:r>
      <w:r>
        <w:rPr>
          <w:rFonts w:hint="eastAsia" w:ascii="仿宋_GB2312" w:hAnsi="仿宋_GB2312" w:eastAsia="仿宋_GB2312" w:cs="仿宋_GB2312"/>
          <w:color w:val="000000"/>
          <w:kern w:val="0"/>
          <w:sz w:val="32"/>
          <w:szCs w:val="32"/>
        </w:rPr>
        <w:t>个。省外二本招生省份扩大到</w:t>
      </w:r>
      <w:r>
        <w:rPr>
          <w:rFonts w:ascii="仿宋_GB2312" w:hAnsi="仿宋_GB2312" w:eastAsia="仿宋_GB2312" w:cs="仿宋_GB2312"/>
          <w:color w:val="000000"/>
          <w:kern w:val="0"/>
          <w:sz w:val="32"/>
          <w:szCs w:val="32"/>
        </w:rPr>
        <w:t>6</w:t>
      </w:r>
      <w:r>
        <w:rPr>
          <w:rFonts w:hint="eastAsia" w:ascii="仿宋_GB2312" w:hAnsi="仿宋_GB2312" w:eastAsia="仿宋_GB2312" w:cs="仿宋_GB2312"/>
          <w:color w:val="000000"/>
          <w:kern w:val="0"/>
          <w:sz w:val="32"/>
          <w:szCs w:val="32"/>
        </w:rPr>
        <w:t>个，毕业生考研录取率从五年前的</w:t>
      </w:r>
      <w:r>
        <w:rPr>
          <w:rFonts w:ascii="仿宋_GB2312" w:hAnsi="仿宋_GB2312" w:eastAsia="仿宋_GB2312" w:cs="仿宋_GB2312"/>
          <w:color w:val="000000"/>
          <w:kern w:val="0"/>
          <w:sz w:val="32"/>
          <w:szCs w:val="32"/>
        </w:rPr>
        <w:t>0.75%</w:t>
      </w:r>
      <w:r>
        <w:rPr>
          <w:rFonts w:hint="eastAsia" w:ascii="仿宋_GB2312" w:hAnsi="仿宋_GB2312" w:eastAsia="仿宋_GB2312" w:cs="仿宋_GB2312"/>
          <w:color w:val="000000"/>
          <w:kern w:val="0"/>
          <w:sz w:val="32"/>
          <w:szCs w:val="32"/>
        </w:rPr>
        <w:t>上升到</w:t>
      </w:r>
      <w:r>
        <w:rPr>
          <w:rFonts w:ascii="仿宋_GB2312" w:hAnsi="仿宋_GB2312" w:eastAsia="仿宋_GB2312" w:cs="仿宋_GB2312"/>
          <w:color w:val="000000"/>
          <w:kern w:val="0"/>
          <w:sz w:val="32"/>
          <w:szCs w:val="32"/>
        </w:rPr>
        <w:t>11.06%</w:t>
      </w:r>
      <w:r>
        <w:rPr>
          <w:rFonts w:hint="eastAsia" w:ascii="仿宋_GB2312" w:hAnsi="仿宋_GB2312" w:eastAsia="仿宋_GB2312" w:cs="仿宋_GB2312"/>
          <w:color w:val="000000"/>
          <w:kern w:val="0"/>
          <w:sz w:val="32"/>
          <w:szCs w:val="32"/>
        </w:rPr>
        <w:t>。学生获全国性学科竞赛一、二等奖</w:t>
      </w:r>
      <w:r>
        <w:rPr>
          <w:rFonts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rPr>
        <w:t>项，省一等奖</w:t>
      </w: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rPr>
        <w:t>项。获国家级大学生创新创业训练计划项目</w:t>
      </w:r>
      <w:r>
        <w:rPr>
          <w:rFonts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rPr>
        <w:t>项，大学生新苗人才计划项目</w:t>
      </w:r>
      <w:r>
        <w:rPr>
          <w:rFonts w:ascii="仿宋_GB2312" w:hAnsi="仿宋_GB2312" w:eastAsia="仿宋_GB2312" w:cs="仿宋_GB2312"/>
          <w:color w:val="000000"/>
          <w:kern w:val="0"/>
          <w:sz w:val="32"/>
          <w:szCs w:val="32"/>
        </w:rPr>
        <w:t>6</w:t>
      </w:r>
      <w:r>
        <w:rPr>
          <w:rFonts w:hint="eastAsia" w:ascii="仿宋_GB2312" w:hAnsi="仿宋_GB2312" w:eastAsia="仿宋_GB2312" w:cs="仿宋_GB2312"/>
          <w:color w:val="000000"/>
          <w:kern w:val="0"/>
          <w:sz w:val="32"/>
          <w:szCs w:val="32"/>
        </w:rPr>
        <w:t>项。学生就业率、考编率和考研率稳步提升。</w:t>
      </w:r>
      <w:r>
        <w:rPr>
          <w:rFonts w:ascii="仿宋_GB2312" w:eastAsia="仿宋_GB2312" w:cs="仿宋_GB2312"/>
          <w:color w:val="000000"/>
          <w:kern w:val="0"/>
          <w:sz w:val="32"/>
          <w:szCs w:val="32"/>
        </w:rPr>
        <w:t xml:space="preserve"> </w:t>
      </w:r>
    </w:p>
    <w:p>
      <w:pPr>
        <w:pStyle w:val="9"/>
        <w:numPr>
          <w:ilvl w:val="0"/>
          <w:numId w:val="5"/>
        </w:numPr>
        <w:ind w:hanging="371"/>
        <w:rPr>
          <w:rFonts w:ascii="楷体_GB2312" w:eastAsia="楷体_GB2312" w:cs="楷体_GB2312"/>
          <w:b/>
          <w:sz w:val="32"/>
          <w:szCs w:val="32"/>
        </w:rPr>
      </w:pPr>
      <w:r>
        <w:rPr>
          <w:rFonts w:hint="eastAsia" w:ascii="楷体_GB2312" w:eastAsia="楷体_GB2312" w:cs="楷体_GB2312"/>
          <w:b/>
          <w:sz w:val="32"/>
          <w:szCs w:val="32"/>
        </w:rPr>
        <w:t xml:space="preserve">科学研究呈现厚积薄发  </w:t>
      </w:r>
    </w:p>
    <w:p>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“十三五”期间，遵循美术学和设计学</w:t>
      </w:r>
      <w:r>
        <w:rPr>
          <w:rFonts w:hint="eastAsia" w:ascii="仿宋_GB2312" w:eastAsia="仿宋_GB2312" w:cs="仿宋_GB2312"/>
          <w:color w:val="000000"/>
          <w:kern w:val="0"/>
          <w:sz w:val="32"/>
          <w:szCs w:val="32"/>
          <w:lang w:val="en-US" w:eastAsia="zh-CN"/>
        </w:rPr>
        <w:t>两</w:t>
      </w:r>
      <w:r>
        <w:rPr>
          <w:rFonts w:hint="eastAsia" w:ascii="仿宋_GB2312" w:eastAsia="仿宋_GB2312" w:cs="仿宋_GB2312"/>
          <w:color w:val="000000"/>
          <w:kern w:val="0"/>
          <w:sz w:val="32"/>
          <w:szCs w:val="32"/>
        </w:rPr>
        <w:t>个一级学科发展规律，筹划研究领域，凝练研究方向，整合科研</w:t>
      </w:r>
      <w:r>
        <w:rPr>
          <w:rFonts w:ascii="仿宋_GB2312" w:eastAsia="仿宋_GB2312" w:cs="仿宋_GB2312"/>
          <w:color w:val="000000"/>
          <w:kern w:val="0"/>
          <w:sz w:val="32"/>
          <w:szCs w:val="32"/>
        </w:rPr>
        <w:t>团队</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加大项目申报力度，</w:t>
      </w:r>
      <w:r>
        <w:rPr>
          <w:rFonts w:hint="eastAsia" w:ascii="仿宋_GB2312" w:eastAsia="仿宋_GB2312" w:cs="仿宋_GB2312"/>
          <w:color w:val="000000"/>
          <w:kern w:val="0"/>
          <w:sz w:val="32"/>
          <w:szCs w:val="32"/>
        </w:rPr>
        <w:t>“十三五”</w:t>
      </w:r>
      <w:r>
        <w:rPr>
          <w:rFonts w:ascii="仿宋_GB2312" w:eastAsia="仿宋_GB2312" w:cs="仿宋_GB2312"/>
          <w:color w:val="000000"/>
          <w:kern w:val="0"/>
          <w:sz w:val="32"/>
          <w:szCs w:val="32"/>
        </w:rPr>
        <w:t>期间获批科研项目国家级2项</w:t>
      </w:r>
      <w:r>
        <w:rPr>
          <w:rFonts w:hint="eastAsia" w:ascii="仿宋_GB2312" w:eastAsia="仿宋_GB2312" w:cs="仿宋_GB2312"/>
          <w:color w:val="000000"/>
          <w:kern w:val="0"/>
          <w:sz w:val="32"/>
          <w:szCs w:val="32"/>
        </w:rPr>
        <w:t>，实现学院国家项目零的突破</w:t>
      </w:r>
      <w:r>
        <w:rPr>
          <w:rFonts w:ascii="仿宋_GB2312" w:eastAsia="仿宋_GB2312" w:cs="仿宋_GB2312"/>
          <w:color w:val="000000"/>
          <w:kern w:val="0"/>
          <w:sz w:val="32"/>
          <w:szCs w:val="32"/>
        </w:rPr>
        <w:t>、省部级16项、市厅级81项，纵向科研经费163.98万。教师发表论文（含作品）298篇，其中权威期刊2篇</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一级期刊9篇；出版专著8部，其中权威出版社2部</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一级出版社4部。获得各类专业获奖301项，包括全国美展入展2人</w:t>
      </w:r>
      <w:r>
        <w:rPr>
          <w:rFonts w:hint="eastAsia" w:ascii="仿宋_GB2312" w:eastAsia="仿宋_GB2312" w:cs="仿宋_GB2312"/>
          <w:color w:val="000000"/>
          <w:kern w:val="0"/>
          <w:sz w:val="32"/>
          <w:szCs w:val="32"/>
        </w:rPr>
        <w:t>、赴京作品1件</w:t>
      </w:r>
      <w:r>
        <w:rPr>
          <w:rFonts w:ascii="仿宋_GB2312" w:eastAsia="仿宋_GB2312" w:cs="仿宋_GB2312"/>
          <w:color w:val="000000"/>
          <w:kern w:val="0"/>
          <w:sz w:val="32"/>
          <w:szCs w:val="32"/>
        </w:rPr>
        <w:t>，市哲学社会科学成果奖7项。获得国家发明专利2项。</w:t>
      </w:r>
    </w:p>
    <w:p>
      <w:pPr>
        <w:pStyle w:val="9"/>
        <w:numPr>
          <w:ilvl w:val="0"/>
          <w:numId w:val="5"/>
        </w:numPr>
        <w:ind w:hanging="513"/>
        <w:rPr>
          <w:rFonts w:ascii="楷体_GB2312" w:eastAsia="楷体_GB2312" w:cs="楷体_GB2312"/>
          <w:b/>
          <w:sz w:val="32"/>
          <w:szCs w:val="32"/>
        </w:rPr>
      </w:pPr>
      <w:r>
        <w:rPr>
          <w:rFonts w:hint="eastAsia" w:ascii="楷体_GB2312" w:eastAsia="楷体_GB2312" w:cs="楷体_GB2312"/>
          <w:b/>
          <w:sz w:val="32"/>
          <w:szCs w:val="32"/>
        </w:rPr>
        <w:t xml:space="preserve">服务地方能力显著提升 </w:t>
      </w:r>
    </w:p>
    <w:p>
      <w:pPr>
        <w:pStyle w:val="9"/>
        <w:ind w:firstLine="640" w:firstLineChars="200"/>
        <w:rPr>
          <w:rFonts w:ascii="仿宋_GB2312" w:eastAsia="仿宋_GB2312" w:cs="仿宋_GB2312"/>
          <w:sz w:val="32"/>
          <w:szCs w:val="32"/>
        </w:rPr>
      </w:pPr>
      <w:r>
        <w:rPr>
          <w:rFonts w:hint="eastAsia" w:ascii="仿宋_GB2312" w:eastAsia="仿宋_GB2312" w:cs="仿宋_GB2312"/>
          <w:sz w:val="32"/>
          <w:szCs w:val="32"/>
        </w:rPr>
        <w:t>落实学校《服务湖州经济社会发展行动纲要（</w:t>
      </w:r>
      <w:r>
        <w:rPr>
          <w:rFonts w:ascii="仿宋_GB2312" w:eastAsia="仿宋_GB2312" w:cs="仿宋_GB2312"/>
          <w:sz w:val="32"/>
          <w:szCs w:val="32"/>
        </w:rPr>
        <w:t>2016—2020</w:t>
      </w:r>
      <w:r>
        <w:rPr>
          <w:rFonts w:hint="eastAsia" w:ascii="仿宋_GB2312" w:eastAsia="仿宋_GB2312" w:cs="仿宋_GB2312"/>
          <w:sz w:val="32"/>
          <w:szCs w:val="32"/>
        </w:rPr>
        <w:t>年）》以及打造高水平“大学与城市命运共同体”精神。与湖州市文化旅游局、湖州市经济信息化局、浙江喜盈门家居科技股份有限公司、贞正装饰公司、浙江天辰建筑设计院等单位签订了战略合作协议，与3</w:t>
      </w:r>
      <w:r>
        <w:rPr>
          <w:rFonts w:ascii="仿宋_GB2312" w:eastAsia="仿宋_GB2312" w:cs="仿宋_GB2312"/>
          <w:sz w:val="32"/>
          <w:szCs w:val="32"/>
        </w:rPr>
        <w:t>0</w:t>
      </w:r>
      <w:r>
        <w:rPr>
          <w:rFonts w:hint="eastAsia" w:ascii="仿宋_GB2312" w:eastAsia="仿宋_GB2312" w:cs="仿宋_GB2312"/>
          <w:sz w:val="32"/>
          <w:szCs w:val="32"/>
        </w:rPr>
        <w:t>余家企业签订产学研合作基地协议，承接服务地方项目65项，服务地方经费累计453万元， 签订百万元以上横向科研项目1个。与浙江喜盈门家居科技股份有限公司共建“智能整装家居研发中心”；协助学校建立何晓霞刺绣产业学院。</w:t>
      </w:r>
      <w:r>
        <w:rPr>
          <w:rFonts w:ascii="仿宋_GB2312" w:eastAsia="仿宋_GB2312" w:cs="仿宋_GB2312"/>
          <w:sz w:val="32"/>
          <w:szCs w:val="32"/>
        </w:rPr>
        <w:t xml:space="preserve"> </w:t>
      </w:r>
    </w:p>
    <w:p>
      <w:pPr>
        <w:pStyle w:val="9"/>
        <w:ind w:firstLine="482" w:firstLineChars="150"/>
        <w:rPr>
          <w:rFonts w:ascii="楷体_GB2312" w:eastAsia="楷体_GB2312" w:cs="楷体_GB2312"/>
          <w:b/>
          <w:sz w:val="32"/>
          <w:szCs w:val="32"/>
        </w:rPr>
      </w:pPr>
      <w:r>
        <w:rPr>
          <w:rFonts w:hint="eastAsia" w:ascii="楷体_GB2312" w:eastAsia="楷体_GB2312" w:cs="楷体_GB2312"/>
          <w:b/>
          <w:sz w:val="32"/>
          <w:szCs w:val="32"/>
        </w:rPr>
        <w:t xml:space="preserve">（六）合作交流空间拓展有力 </w:t>
      </w:r>
    </w:p>
    <w:p>
      <w:pPr>
        <w:pStyle w:val="9"/>
        <w:ind w:firstLine="640" w:firstLineChars="200"/>
        <w:rPr>
          <w:rFonts w:ascii="仿宋_GB2312" w:eastAsia="仿宋_GB2312" w:cs="仿宋_GB2312"/>
          <w:color w:val="FF0000"/>
          <w:sz w:val="32"/>
          <w:szCs w:val="32"/>
        </w:rPr>
      </w:pPr>
      <w:r>
        <w:rPr>
          <w:rFonts w:hint="eastAsia" w:ascii="仿宋_GB2312" w:eastAsia="仿宋_GB2312" w:cs="仿宋_GB2312"/>
          <w:sz w:val="32"/>
          <w:szCs w:val="32"/>
        </w:rPr>
        <w:t>积极参与学校</w:t>
      </w:r>
      <w:r>
        <w:rPr>
          <w:rFonts w:hint="eastAsia" w:ascii="仿宋_GB2312" w:hAnsi="仿宋_GB2312" w:eastAsia="仿宋_GB2312" w:cs="仿宋_GB2312"/>
          <w:sz w:val="32"/>
          <w:szCs w:val="32"/>
        </w:rPr>
        <w:t>跨文化研究中心建设；</w:t>
      </w:r>
      <w:r>
        <w:rPr>
          <w:rFonts w:hint="eastAsia" w:ascii="仿宋_GB2312" w:eastAsia="仿宋_GB2312" w:cs="仿宋_GB2312"/>
          <w:sz w:val="32"/>
          <w:szCs w:val="32"/>
        </w:rPr>
        <w:t>举办“中国设计智造佳作奖湖州站巡回展”</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教育部高等教育美术研究会产教融合专委会2019夏季研讨会</w:t>
      </w:r>
      <w:r>
        <w:rPr>
          <w:rFonts w:hint="eastAsia" w:ascii="仿宋_GB2312" w:hAnsi="仿宋_GB2312" w:eastAsia="仿宋_GB2312" w:cs="仿宋_GB2312"/>
          <w:sz w:val="32"/>
          <w:szCs w:val="32"/>
        </w:rPr>
        <w:t>”“</w:t>
      </w:r>
      <w:r>
        <w:rPr>
          <w:rFonts w:hint="eastAsia" w:ascii="仿宋_GB2312" w:eastAsia="仿宋_GB2312" w:cs="仿宋_GB2312"/>
          <w:sz w:val="32"/>
          <w:szCs w:val="32"/>
        </w:rPr>
        <w:t>地域美术史年度研讨会”等</w:t>
      </w:r>
      <w:r>
        <w:rPr>
          <w:rFonts w:hint="eastAsia" w:ascii="仿宋_GB2312" w:hAnsi="仿宋_GB2312" w:eastAsia="仿宋_GB2312" w:cs="仿宋_GB2312"/>
          <w:sz w:val="32"/>
          <w:szCs w:val="32"/>
        </w:rPr>
        <w:t>学术研讨会。与浙江大学、浙江省社科院建立合作共建关系。邀请校外专家举办学术讲座50余场。招收国际生37人，其中国际研究生35人，学历生比例100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，学生赴国境外交流学习   人。五年来累计获得社会捐赠折合27万元。</w:t>
      </w:r>
      <w:r>
        <w:rPr>
          <w:rFonts w:ascii="仿宋_GB2312" w:hAnsi="仿宋_GB2312" w:eastAsia="仿宋_GB2312" w:cs="仿宋_GB2312"/>
          <w:sz w:val="32"/>
          <w:szCs w:val="32"/>
        </w:rPr>
        <w:t xml:space="preserve"> </w:t>
      </w:r>
    </w:p>
    <w:p>
      <w:pPr>
        <w:pStyle w:val="9"/>
        <w:ind w:firstLine="643" w:firstLineChars="200"/>
        <w:rPr>
          <w:rFonts w:ascii="楷体_GB2312" w:eastAsia="楷体_GB2312" w:cs="楷体_GB2312"/>
          <w:b/>
          <w:sz w:val="32"/>
          <w:szCs w:val="32"/>
        </w:rPr>
      </w:pPr>
      <w:r>
        <w:rPr>
          <w:rFonts w:hint="eastAsia" w:ascii="楷体_GB2312" w:eastAsia="楷体_GB2312" w:cs="楷体_GB2312"/>
          <w:b/>
          <w:sz w:val="32"/>
          <w:szCs w:val="32"/>
        </w:rPr>
        <w:t>（七）办学基础资源保障有力</w:t>
      </w:r>
    </w:p>
    <w:p>
      <w:pPr>
        <w:pStyle w:val="9"/>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新拓展建设服装设计中心、环境设计中心、视觉传达设计中心、MIDI工作室、录音棚、雕塑工作室等实验室。向外拓展空间849平方米。实验室新增总投资729.9万元。新增国际研究生专用教室320平方米。累计更换办公设备30余万元。制定《实验耗材领用管理规定》等制度；落实“垃圾分类”，推进绿色生态校园建设。获批市众创空间与省级众创分空间，获得胡瑗卓越管理奖一等奖。 </w:t>
      </w:r>
    </w:p>
    <w:p>
      <w:pPr>
        <w:pStyle w:val="9"/>
        <w:ind w:firstLine="643" w:firstLineChars="200"/>
        <w:rPr>
          <w:rFonts w:ascii="楷体_GB2312" w:eastAsia="楷体_GB2312" w:cs="楷体_GB2312"/>
          <w:b/>
          <w:color w:val="auto"/>
          <w:sz w:val="32"/>
          <w:szCs w:val="32"/>
        </w:rPr>
      </w:pPr>
      <w:r>
        <w:rPr>
          <w:rFonts w:hint="eastAsia" w:ascii="楷体_GB2312" w:eastAsia="楷体_GB2312" w:cs="楷体_GB2312"/>
          <w:b/>
          <w:color w:val="auto"/>
          <w:sz w:val="32"/>
          <w:szCs w:val="32"/>
        </w:rPr>
        <w:t xml:space="preserve">（八）党建思政工作成就显著 </w:t>
      </w:r>
    </w:p>
    <w:p>
      <w:pPr>
        <w:widowControl/>
        <w:jc w:val="left"/>
        <w:rPr>
          <w:rFonts w:hint="eastAsia" w:ascii="仿宋_GB2312" w:hAnsi="仿宋_GB2312" w:eastAsia="仿宋_GB2312" w:cs="仿宋_GB2312"/>
          <w:kern w:val="0"/>
          <w:sz w:val="32"/>
          <w:szCs w:val="32"/>
        </w:rPr>
      </w:pPr>
      <w:r>
        <w:rPr>
          <w:rFonts w:hint="eastAsia" w:ascii="仿宋_GB2312" w:eastAsia="仿宋_GB2312" w:cs="仿宋_GB2312"/>
          <w:sz w:val="32"/>
          <w:szCs w:val="32"/>
        </w:rPr>
        <w:t xml:space="preserve">    </w:t>
      </w:r>
      <w:r>
        <w:rPr>
          <w:rFonts w:hint="eastAsia" w:ascii="仿宋_GB2312" w:hAnsi="仿宋_GB2312" w:eastAsia="仿宋_GB2312" w:cs="仿宋_GB2312"/>
          <w:kern w:val="0"/>
          <w:sz w:val="32"/>
          <w:szCs w:val="32"/>
        </w:rPr>
        <w:t>深入学习贯彻落实党的十九大及历次全会精神、认真学习习近平新时代中国特色社会主义思想，抓好党员发展和再教育工作。坚持理论中心组学习制度，学习贯彻《二级学院党政联席会议制度》。落实中央八项规定精神，落实党风廉政建设。创新基层党组织建设，选好配强支部书记及支委，充分发挥基层党支部的战斗堡垒作用，视觉传达设计系教工党支部被评为校先进基层党组织。统战、群团工作稳步推进，学院分工会积极参与学校各项文体活动。贯彻落实《艺术学院学风建设工作方案（试行）》文件精神，学风建设稳步提升，学院获得校第二十二届运动会体育道德风尚奖，创建“君子之风”文化品牌——艺术导读工程，学院一院一品（艺术节）文化建设成效明显。</w:t>
      </w:r>
    </w:p>
    <w:p>
      <w:pPr>
        <w:pStyle w:val="9"/>
        <w:rPr>
          <w:sz w:val="32"/>
          <w:szCs w:val="32"/>
        </w:rPr>
      </w:pPr>
      <w:r>
        <w:rPr>
          <w:rFonts w:hint="eastAsia"/>
          <w:sz w:val="32"/>
          <w:szCs w:val="32"/>
        </w:rPr>
        <w:t xml:space="preserve">二、发展机遇与挑战 </w:t>
      </w:r>
    </w:p>
    <w:p>
      <w:pPr>
        <w:pStyle w:val="9"/>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“十四五”时期是艺术学院能否顺势而进实现办学层次进一步提升、学院保持高质量可持续发展的关键时期, 我们当进一步增强机遇意识与忧患意识，以更敏锐的战略思维和更加宽广的办学视野，把学院的发展置于地域发展战略的大格局中，本着学院办大学的气魄，直面艺术类高等教育发展态势、机遇、未来的大格局，来静心思考与大胆谋划。 </w:t>
      </w:r>
    </w:p>
    <w:p>
      <w:pPr>
        <w:pStyle w:val="9"/>
        <w:ind w:firstLine="643" w:firstLineChars="200"/>
        <w:rPr>
          <w:rFonts w:ascii="楷体_GB2312" w:eastAsia="楷体_GB2312" w:cs="楷体_GB2312"/>
          <w:b/>
          <w:sz w:val="32"/>
          <w:szCs w:val="32"/>
        </w:rPr>
      </w:pPr>
      <w:r>
        <w:rPr>
          <w:rFonts w:hint="eastAsia" w:ascii="楷体_GB2312" w:eastAsia="楷体_GB2312" w:cs="楷体_GB2312"/>
          <w:b/>
          <w:sz w:val="32"/>
          <w:szCs w:val="32"/>
        </w:rPr>
        <w:t>（一）发展机遇</w:t>
      </w:r>
      <w:r>
        <w:rPr>
          <w:rFonts w:ascii="楷体_GB2312" w:eastAsia="楷体_GB2312" w:cs="楷体_GB2312"/>
          <w:b/>
          <w:sz w:val="32"/>
          <w:szCs w:val="32"/>
        </w:rPr>
        <w:t xml:space="preserve"> </w:t>
      </w:r>
    </w:p>
    <w:p>
      <w:pPr>
        <w:pStyle w:val="9"/>
        <w:ind w:firstLine="640" w:firstLineChars="200"/>
        <w:rPr>
          <w:rFonts w:ascii="仿宋_GB2312" w:hAnsi="仿宋_GB2312" w:eastAsia="仿宋_GB2312" w:cs="仿宋_GB2312"/>
          <w:sz w:val="32"/>
          <w:szCs w:val="32"/>
        </w:rPr>
      </w:pPr>
      <w:r>
        <w:rPr>
          <w:rFonts w:hint="eastAsia" w:ascii="仿宋_GB2312" w:eastAsia="仿宋_GB2312" w:cs="仿宋_GB2312"/>
          <w:sz w:val="32"/>
          <w:szCs w:val="32"/>
        </w:rPr>
        <w:t>从高等教育改革发展形势看，世界高等教育已处于深刻变革的重要历史时期，更加重视高等教育的改革、创新、发展。我国正从教育大国向教育强国迈进中，高等教育正从规模扩张向提高质量转型，全国高校迎来了宝贵的战略机遇期。党的十九大报告指出，建设教育强国是中华民族伟大复兴的基础工程；要加快一流大学和一流学科建设，实现高等教育内涵式发展。教育部等五部门印发《教师教育振兴行动计划（</w:t>
      </w:r>
      <w:r>
        <w:rPr>
          <w:rFonts w:ascii="仿宋_GB2312" w:eastAsia="仿宋_GB2312" w:cs="仿宋_GB2312"/>
          <w:sz w:val="32"/>
          <w:szCs w:val="32"/>
        </w:rPr>
        <w:t>2018—2022</w:t>
      </w:r>
      <w:r>
        <w:rPr>
          <w:rFonts w:hint="eastAsia" w:ascii="仿宋_GB2312" w:eastAsia="仿宋_GB2312" w:cs="仿宋_GB2312"/>
          <w:sz w:val="32"/>
          <w:szCs w:val="32"/>
        </w:rPr>
        <w:t>年）》，提出经过</w:t>
      </w:r>
      <w:r>
        <w:rPr>
          <w:rFonts w:ascii="仿宋_GB2312" w:eastAsia="仿宋_GB2312" w:cs="仿宋_GB2312"/>
          <w:sz w:val="32"/>
          <w:szCs w:val="32"/>
        </w:rPr>
        <w:t>5</w:t>
      </w:r>
      <w:r>
        <w:rPr>
          <w:rFonts w:hint="eastAsia" w:ascii="仿宋_GB2312" w:eastAsia="仿宋_GB2312" w:cs="仿宋_GB2312"/>
          <w:sz w:val="32"/>
          <w:szCs w:val="32"/>
        </w:rPr>
        <w:t>年左右努力，办好一批高水平、有特色的教师教育院校和师范类专业。浙江省委省政府印发《关于全面实施高等教育强省战略的意见》，特别指出是加大对师范院校的支持力度，打造</w:t>
      </w:r>
      <w:r>
        <w:rPr>
          <w:rFonts w:ascii="仿宋_GB2312" w:eastAsia="仿宋_GB2312" w:cs="仿宋_GB2312"/>
          <w:sz w:val="32"/>
          <w:szCs w:val="32"/>
        </w:rPr>
        <w:t>2-3</w:t>
      </w:r>
      <w:r>
        <w:rPr>
          <w:rFonts w:hint="eastAsia" w:ascii="仿宋_GB2312" w:eastAsia="仿宋_GB2312" w:cs="仿宋_GB2312"/>
          <w:sz w:val="32"/>
          <w:szCs w:val="32"/>
        </w:rPr>
        <w:t>所高水平师范大学，学校处于创建高水平师范大学机遇窗口期。从区域经济社会发展形势看，当前，全省上下全面贯彻习近平总书记考察浙江重要讲话精神，在忠实践行</w:t>
      </w:r>
      <w:r>
        <w:rPr>
          <w:rFonts w:hint="eastAsia" w:ascii="宋体" w:hAnsi="宋体" w:eastAsia="宋体" w:cs="宋体"/>
          <w:sz w:val="32"/>
          <w:szCs w:val="32"/>
        </w:rPr>
        <w:t>“</w:t>
      </w:r>
      <w:r>
        <w:rPr>
          <w:rFonts w:hint="eastAsia" w:ascii="仿宋_GB2312" w:hAnsi="仿宋_GB2312" w:eastAsia="仿宋_GB2312" w:cs="仿宋_GB2312"/>
          <w:sz w:val="32"/>
          <w:szCs w:val="32"/>
        </w:rPr>
        <w:t>八八战略</w:t>
      </w:r>
      <w:r>
        <w:rPr>
          <w:rFonts w:hint="eastAsia" w:cs="MS Mincho" w:asciiTheme="minorEastAsia" w:hAnsiTheme="minorEastAsia" w:eastAsiaTheme="minorEastAsia"/>
          <w:sz w:val="32"/>
          <w:szCs w:val="32"/>
        </w:rPr>
        <w:t>”</w:t>
      </w:r>
      <w:r>
        <w:rPr>
          <w:rFonts w:hint="eastAsia" w:ascii="仿宋_GB2312" w:hAnsi="仿宋_GB2312" w:eastAsia="仿宋_GB2312" w:cs="仿宋_GB2312"/>
          <w:sz w:val="32"/>
          <w:szCs w:val="32"/>
        </w:rPr>
        <w:t>、奋力打造</w:t>
      </w:r>
      <w:r>
        <w:rPr>
          <w:rFonts w:hint="eastAsia" w:ascii="宋体" w:hAnsi="宋体" w:eastAsia="宋体" w:cs="宋体"/>
          <w:sz w:val="32"/>
          <w:szCs w:val="32"/>
        </w:rPr>
        <w:t>“</w:t>
      </w:r>
      <w:r>
        <w:rPr>
          <w:rFonts w:hint="eastAsia" w:ascii="仿宋_GB2312" w:hAnsi="仿宋_GB2312" w:eastAsia="仿宋_GB2312" w:cs="仿宋_GB2312"/>
          <w:sz w:val="32"/>
          <w:szCs w:val="32"/>
        </w:rPr>
        <w:t>重要窗口</w:t>
      </w:r>
      <w:r>
        <w:rPr>
          <w:rFonts w:hint="eastAsia" w:cs="MS Mincho" w:asciiTheme="minorEastAsia" w:hAnsiTheme="minorEastAsia" w:eastAsiaTheme="minorEastAsia"/>
          <w:sz w:val="32"/>
          <w:szCs w:val="32"/>
        </w:rPr>
        <w:t>”</w:t>
      </w:r>
      <w:r>
        <w:rPr>
          <w:rFonts w:hint="eastAsia" w:ascii="仿宋_GB2312" w:hAnsi="仿宋_GB2312" w:eastAsia="仿宋_GB2312" w:cs="仿宋_GB2312"/>
          <w:sz w:val="32"/>
          <w:szCs w:val="32"/>
        </w:rPr>
        <w:t>上全面启动、全线发力、全力落实，大力实施教育现代化战略和高等教育强省战略。湖州正在加快推动高质量赶超发展，加快融入长三角一体化发展国家战略，努力成为</w:t>
      </w:r>
      <w:r>
        <w:rPr>
          <w:rFonts w:hint="eastAsia" w:ascii="宋体" w:hAnsi="宋体" w:eastAsia="宋体" w:cs="宋体"/>
          <w:sz w:val="32"/>
          <w:szCs w:val="32"/>
        </w:rPr>
        <w:t>“</w:t>
      </w:r>
      <w:r>
        <w:rPr>
          <w:rFonts w:hint="eastAsia" w:ascii="仿宋_GB2312" w:hAnsi="仿宋_GB2312" w:eastAsia="仿宋_GB2312" w:cs="仿宋_GB2312"/>
          <w:sz w:val="32"/>
          <w:szCs w:val="32"/>
        </w:rPr>
        <w:t>重要窗口</w:t>
      </w:r>
      <w:r>
        <w:rPr>
          <w:rFonts w:hint="eastAsia" w:cs="MS Mincho" w:asciiTheme="minorEastAsia" w:hAnsiTheme="minorEastAsia" w:eastAsiaTheme="minorEastAsia"/>
          <w:sz w:val="32"/>
          <w:szCs w:val="32"/>
        </w:rPr>
        <w:t>”</w:t>
      </w:r>
      <w:r>
        <w:rPr>
          <w:rFonts w:hint="eastAsia" w:ascii="仿宋_GB2312" w:hAnsi="仿宋_GB2312" w:eastAsia="仿宋_GB2312" w:cs="仿宋_GB2312"/>
          <w:sz w:val="32"/>
          <w:szCs w:val="32"/>
        </w:rPr>
        <w:t>示范样本，奋力实现</w:t>
      </w:r>
      <w:r>
        <w:rPr>
          <w:rFonts w:hint="eastAsia" w:ascii="宋体" w:hAnsi="宋体" w:eastAsia="宋体" w:cs="宋体"/>
          <w:sz w:val="32"/>
          <w:szCs w:val="32"/>
        </w:rPr>
        <w:t>“</w:t>
      </w:r>
      <w:r>
        <w:rPr>
          <w:rFonts w:hint="eastAsia" w:ascii="仿宋_GB2312" w:hAnsi="仿宋_GB2312" w:eastAsia="仿宋_GB2312" w:cs="仿宋_GB2312"/>
          <w:sz w:val="32"/>
          <w:szCs w:val="32"/>
        </w:rPr>
        <w:t>浙北再崛起</w:t>
      </w:r>
      <w:r>
        <w:rPr>
          <w:rFonts w:hint="eastAsia" w:cs="MS Mincho" w:asciiTheme="minorEastAsia" w:hAnsiTheme="minorEastAsia" w:eastAsiaTheme="minorEastAsia"/>
          <w:sz w:val="32"/>
          <w:szCs w:val="32"/>
        </w:rPr>
        <w:t>”</w:t>
      </w:r>
      <w:r>
        <w:rPr>
          <w:rFonts w:hint="eastAsia" w:ascii="仿宋_GB2312" w:hAnsi="仿宋_GB2312" w:eastAsia="仿宋_GB2312" w:cs="仿宋_GB2312"/>
          <w:sz w:val="32"/>
          <w:szCs w:val="32"/>
        </w:rPr>
        <w:t>。城市的发展亟需高校发挥人才资源和创新要素的集聚作用，亟需更高水平的高等教育提供人才保障、智力支持、文化引领与科技支撑。学校正把自身发展和服务地</w:t>
      </w:r>
      <w:r>
        <w:rPr>
          <w:rFonts w:hint="eastAsia" w:ascii="仿宋_GB2312" w:eastAsia="仿宋_GB2312" w:cs="仿宋_GB2312"/>
          <w:sz w:val="32"/>
          <w:szCs w:val="32"/>
        </w:rPr>
        <w:t>方统一起来，面向区域经济社会发展主战场，积极响应长三角一体化发展等国家重大战略，努力争取“</w:t>
      </w:r>
      <w:r>
        <w:rPr>
          <w:rFonts w:hint="eastAsia" w:ascii="仿宋_GB2312" w:hAnsi="仿宋_GB2312" w:eastAsia="仿宋_GB2312" w:cs="仿宋_GB2312"/>
          <w:sz w:val="32"/>
          <w:szCs w:val="32"/>
        </w:rPr>
        <w:t>有为</w:t>
      </w:r>
      <w:r>
        <w:rPr>
          <w:rFonts w:hint="eastAsia" w:cs="MS Mincho" w:asciiTheme="minorEastAsia" w:hAnsiTheme="minorEastAsia" w:eastAsiaTheme="minorEastAsia"/>
          <w:sz w:val="32"/>
          <w:szCs w:val="32"/>
        </w:rPr>
        <w:t>”</w:t>
      </w:r>
      <w:r>
        <w:rPr>
          <w:rFonts w:hint="eastAsia" w:ascii="仿宋_GB2312" w:hAnsi="仿宋_GB2312" w:eastAsia="仿宋_GB2312" w:cs="仿宋_GB2312"/>
          <w:sz w:val="32"/>
          <w:szCs w:val="32"/>
        </w:rPr>
        <w:t>和</w:t>
      </w:r>
      <w:r>
        <w:rPr>
          <w:rFonts w:hint="eastAsia" w:ascii="宋体" w:hAnsi="宋体" w:eastAsia="宋体" w:cs="宋体"/>
          <w:sz w:val="32"/>
          <w:szCs w:val="32"/>
        </w:rPr>
        <w:t>“</w:t>
      </w:r>
      <w:r>
        <w:rPr>
          <w:rFonts w:hint="eastAsia" w:ascii="仿宋_GB2312" w:hAnsi="仿宋_GB2312" w:eastAsia="仿宋_GB2312" w:cs="仿宋_GB2312"/>
          <w:sz w:val="32"/>
          <w:szCs w:val="32"/>
        </w:rPr>
        <w:t>有位</w:t>
      </w:r>
      <w:r>
        <w:rPr>
          <w:rFonts w:hint="eastAsia" w:cs="MS Mincho" w:asciiTheme="minorEastAsia" w:hAnsiTheme="minorEastAsia" w:eastAsiaTheme="minorEastAsia"/>
          <w:sz w:val="32"/>
          <w:szCs w:val="32"/>
        </w:rPr>
        <w:t>”</w:t>
      </w:r>
      <w:r>
        <w:rPr>
          <w:rFonts w:hint="eastAsia" w:ascii="仿宋_GB2312" w:hAnsi="仿宋_GB2312" w:eastAsia="仿宋_GB2312" w:cs="仿宋_GB2312"/>
          <w:sz w:val="32"/>
          <w:szCs w:val="32"/>
        </w:rPr>
        <w:t>。艺术学院作为学校较大的学院，有首批硕士点，也是学校首轮冲击博士点培养单位。聚集着市、校艺术类创作精英，承载着市、校</w:t>
      </w:r>
      <w:r>
        <w:rPr>
          <w:rFonts w:hint="eastAsia" w:ascii="仿宋_GB2312" w:eastAsia="仿宋_GB2312" w:cs="仿宋_GB2312"/>
          <w:sz w:val="32"/>
          <w:szCs w:val="32"/>
        </w:rPr>
        <w:t>艺术类人才需求保障、设计智力支撑、艺术精神引领的期望，是努力拓展学院声誉、完善艺术类人才培养体系、提升人才培养层次重要机遇期。</w:t>
      </w:r>
    </w:p>
    <w:p>
      <w:pPr>
        <w:pStyle w:val="9"/>
        <w:ind w:firstLine="643" w:firstLineChars="200"/>
        <w:rPr>
          <w:rFonts w:ascii="楷体_GB2312" w:eastAsia="楷体_GB2312" w:cs="楷体_GB2312"/>
          <w:b/>
          <w:sz w:val="32"/>
          <w:szCs w:val="32"/>
        </w:rPr>
      </w:pPr>
      <w:r>
        <w:rPr>
          <w:rFonts w:hint="eastAsia" w:ascii="楷体_GB2312" w:eastAsia="楷体_GB2312" w:cs="楷体_GB2312"/>
          <w:b/>
          <w:sz w:val="32"/>
          <w:szCs w:val="32"/>
        </w:rPr>
        <w:t>（二）面临挑战</w:t>
      </w:r>
      <w:r>
        <w:rPr>
          <w:rFonts w:ascii="楷体_GB2312" w:eastAsia="楷体_GB2312" w:cs="楷体_GB2312"/>
          <w:b/>
          <w:sz w:val="32"/>
          <w:szCs w:val="32"/>
        </w:rPr>
        <w:t xml:space="preserve"> </w:t>
      </w:r>
    </w:p>
    <w:p>
      <w:pPr>
        <w:pStyle w:val="9"/>
        <w:ind w:firstLine="640" w:firstLineChars="200"/>
        <w:rPr>
          <w:rFonts w:ascii="仿宋_GB2312" w:eastAsia="仿宋_GB2312" w:cs="仿宋_GB2312"/>
          <w:sz w:val="32"/>
          <w:szCs w:val="32"/>
        </w:rPr>
      </w:pPr>
      <w:r>
        <w:rPr>
          <w:rFonts w:hint="eastAsia" w:ascii="仿宋_GB2312" w:eastAsia="仿宋_GB2312" w:cs="仿宋_GB2312"/>
          <w:sz w:val="32"/>
          <w:szCs w:val="32"/>
        </w:rPr>
        <w:t>从宏观层面看，综合类高校中的艺术类学院 “重道轻器”观念</w:t>
      </w:r>
      <w:r>
        <w:rPr>
          <w:rFonts w:hint="eastAsia" w:ascii="仿宋_GB2312" w:eastAsia="仿宋_GB2312" w:cs="仿宋_GB2312"/>
          <w:sz w:val="32"/>
          <w:szCs w:val="32"/>
          <w:lang w:val="en-US" w:eastAsia="zh-CN"/>
        </w:rPr>
        <w:t>仍</w:t>
      </w:r>
      <w:r>
        <w:rPr>
          <w:rFonts w:hint="eastAsia" w:ascii="仿宋_GB2312" w:eastAsia="仿宋_GB2312" w:cs="仿宋_GB2312"/>
          <w:sz w:val="32"/>
          <w:szCs w:val="32"/>
        </w:rPr>
        <w:t>然严重。在评价体系上依然重视基础理论研究，忽视应用创新成果，疏远艺术成果本源。新时代艺术类高等教育创新型人才需求与传统人才培养模式的矛盾日益凸显。随着国家、省加大“</w:t>
      </w:r>
      <w:r>
        <w:rPr>
          <w:rFonts w:hint="eastAsia" w:ascii="仿宋_GB2312" w:hAnsi="仿宋_GB2312" w:eastAsia="仿宋_GB2312" w:cs="仿宋_GB2312"/>
          <w:sz w:val="32"/>
          <w:szCs w:val="32"/>
        </w:rPr>
        <w:t>双一流</w:t>
      </w:r>
      <w:r>
        <w:rPr>
          <w:rFonts w:hint="eastAsia" w:cs="MS Mincho" w:asciiTheme="minorEastAsia" w:hAnsiTheme="minorEastAsia" w:eastAsiaTheme="minorEastAsia"/>
          <w:sz w:val="32"/>
          <w:szCs w:val="32"/>
        </w:rPr>
        <w:t>”</w:t>
      </w:r>
      <w:r>
        <w:rPr>
          <w:rFonts w:hint="eastAsia" w:ascii="仿宋_GB2312" w:eastAsia="仿宋_GB2312" w:cs="仿宋_GB2312"/>
          <w:sz w:val="32"/>
          <w:szCs w:val="32"/>
        </w:rPr>
        <w:t>建设，国家、省、市、校对学科与专业的认识差异，资源投入差距不断拉大。这就要求作为地方高校中的艺术学院，无论从人力资源、场地资源、设备资源、办学经费等方面，都难以在第一梯队获得发展资源，所以全院师生必须群策群力、同频共振、努力研究与寻找新的资源、开创新的发展模式。从学院自身发展看，艺术硕士授权点合格评估在即</w:t>
      </w:r>
      <w:r>
        <w:rPr>
          <w:rFonts w:hint="eastAsia" w:ascii="仿宋_GB2312" w:eastAsia="仿宋_GB2312" w:cs="仿宋_GB2312"/>
          <w:sz w:val="32"/>
          <w:szCs w:val="32"/>
          <w:lang w:eastAsia="zh-CN"/>
        </w:rPr>
        <w:t>，</w:t>
      </w:r>
      <w:r>
        <w:rPr>
          <w:rFonts w:hint="eastAsia" w:ascii="仿宋_GB2312" w:eastAsia="仿宋_GB2312" w:cs="仿宋_GB2312"/>
          <w:sz w:val="32"/>
          <w:szCs w:val="32"/>
        </w:rPr>
        <w:t>对照2026年冲击博士授权点目标，一是高水平师资不足，在全国的学术影响力远远不够。二是学术氛围不浓、学术抱负偏低，尚未形成一批有较大学术建树、有广泛影响力、有业内外话语权的学术名师队伍。三是科研水平不高、服务地方对象偏散，彰显学院办学实力的标志性成果较少，整体科研能力、特别是成果转化能力还不够强。四是服务意识不强、内部治理能力偏弱，现代学院精细化治理体系建设有待加强，院系室三级运行机制需要进一步盘活等。</w:t>
      </w:r>
    </w:p>
    <w:p>
      <w:pPr>
        <w:autoSpaceDE w:val="0"/>
        <w:autoSpaceDN w:val="0"/>
        <w:adjustRightInd w:val="0"/>
        <w:jc w:val="left"/>
        <w:rPr>
          <w:rFonts w:ascii="仿宋_GB2312" w:eastAsia="仿宋_GB2312" w:cs="仿宋_GB2312"/>
          <w:color w:val="000000"/>
          <w:kern w:val="0"/>
          <w:sz w:val="32"/>
          <w:szCs w:val="32"/>
        </w:rPr>
      </w:pPr>
      <w:r>
        <w:rPr>
          <w:rFonts w:ascii="仿宋_GB2312" w:eastAsia="仿宋_GB2312" w:cs="仿宋_GB2312"/>
          <w:color w:val="000000"/>
          <w:kern w:val="0"/>
          <w:sz w:val="32"/>
          <w:szCs w:val="32"/>
        </w:rPr>
        <w:t xml:space="preserve"> </w:t>
      </w:r>
    </w:p>
    <w:p>
      <w:pPr>
        <w:autoSpaceDE w:val="0"/>
        <w:autoSpaceDN w:val="0"/>
        <w:adjustRightInd w:val="0"/>
        <w:ind w:firstLine="442" w:firstLineChars="100"/>
        <w:jc w:val="center"/>
        <w:rPr>
          <w:rFonts w:ascii="黑体" w:eastAsia="黑体" w:cs="黑体"/>
          <w:color w:val="000000"/>
          <w:kern w:val="0"/>
          <w:sz w:val="32"/>
          <w:szCs w:val="32"/>
        </w:rPr>
      </w:pPr>
      <w:r>
        <w:rPr>
          <w:rFonts w:hint="eastAsia" w:cs="黑体" w:asciiTheme="majorEastAsia" w:hAnsiTheme="majorEastAsia" w:eastAsiaTheme="majorEastAsia"/>
          <w:b/>
          <w:color w:val="000000"/>
          <w:kern w:val="0"/>
          <w:sz w:val="44"/>
          <w:szCs w:val="44"/>
        </w:rPr>
        <w:t>第二部分 指导思想与发展目标</w:t>
      </w:r>
    </w:p>
    <w:p>
      <w:pPr>
        <w:autoSpaceDE w:val="0"/>
        <w:autoSpaceDN w:val="0"/>
        <w:adjustRightInd w:val="0"/>
        <w:ind w:firstLine="640" w:firstLineChars="200"/>
        <w:jc w:val="left"/>
        <w:rPr>
          <w:rFonts w:ascii="黑体" w:eastAsia="黑体" w:cs="黑体"/>
          <w:color w:val="000000"/>
          <w:kern w:val="0"/>
          <w:sz w:val="32"/>
          <w:szCs w:val="32"/>
        </w:rPr>
      </w:pPr>
    </w:p>
    <w:p>
      <w:pPr>
        <w:autoSpaceDE w:val="0"/>
        <w:autoSpaceDN w:val="0"/>
        <w:adjustRightInd w:val="0"/>
        <w:ind w:firstLine="640" w:firstLineChars="200"/>
        <w:jc w:val="left"/>
        <w:rPr>
          <w:rFonts w:ascii="黑体" w:eastAsia="黑体" w:cs="黑体"/>
          <w:color w:val="000000"/>
          <w:kern w:val="0"/>
          <w:sz w:val="32"/>
          <w:szCs w:val="32"/>
        </w:rPr>
      </w:pPr>
      <w:r>
        <w:rPr>
          <w:rFonts w:hint="eastAsia" w:ascii="黑体" w:eastAsia="黑体" w:cs="黑体"/>
          <w:color w:val="000000"/>
          <w:kern w:val="0"/>
          <w:sz w:val="32"/>
          <w:szCs w:val="32"/>
        </w:rPr>
        <w:t>一、指导思想</w:t>
      </w:r>
      <w:r>
        <w:rPr>
          <w:rFonts w:ascii="黑体" w:eastAsia="黑体" w:cs="黑体"/>
          <w:color w:val="000000"/>
          <w:kern w:val="0"/>
          <w:sz w:val="32"/>
          <w:szCs w:val="32"/>
        </w:rPr>
        <w:t xml:space="preserve"> </w:t>
      </w:r>
    </w:p>
    <w:p>
      <w:pPr>
        <w:spacing w:line="480" w:lineRule="auto"/>
        <w:ind w:firstLine="640" w:firstLineChars="200"/>
        <w:rPr>
          <w:rFonts w:ascii="仿宋_GB2312" w:eastAsia="仿宋_GB2312" w:cs="仿宋_GB2312"/>
          <w:color w:val="000000"/>
          <w:kern w:val="0"/>
          <w:sz w:val="32"/>
          <w:szCs w:val="32"/>
        </w:rPr>
      </w:pPr>
      <w:r>
        <w:rPr>
          <w:rFonts w:hint="eastAsia" w:ascii="仿宋_GB2312" w:eastAsia="仿宋_GB2312" w:cs="仿宋_GB2312"/>
          <w:sz w:val="32"/>
          <w:szCs w:val="32"/>
        </w:rPr>
        <w:t>以习近平新时代中国特色社会主义思想为指导，全面落实立德树人根本任务，始终坚持学校“因地制宜、体现特色、服务地方”的办学方针，弘扬“明体达用”的校训，彰显“艰苦奋斗、自强不息、包容求新、博雅笃行”的师院精神，明确“从教学型向教学研究型转型”的发展主题，致力于师范领域的人才培养与鲜明的应用特色科学研究，并以此服务“重要窗口”建设的使命，强化“以生为本、以师为重、以研为要”的办学理念，推动艺术类学科建设和学院赶超发展。构建“目标认同、权责清晰、制度规范、考核精准、激励有效”的学院、学科、系部治理体系；完善政治、思想、组织、人才、政策、资源、智治、法治等八大保障体系。</w:t>
      </w:r>
      <w:r>
        <w:rPr>
          <w:rFonts w:hint="eastAsia" w:ascii="仿宋_GB2312" w:eastAsia="仿宋_GB2312" w:cs="仿宋_GB2312"/>
          <w:color w:val="000000"/>
          <w:kern w:val="0"/>
          <w:sz w:val="32"/>
          <w:szCs w:val="32"/>
        </w:rPr>
        <w:t>紧紧围绕学校建设“湖州师范大学”的总体目标，积极配合学校综合改革，不断深化推进工作。“十四五”期间，学院工作将坚持以学科建设龙头、以人才培养工作为中心，大力推进“做精美术学、做强设计学”的主体思路，拓展硕士学位授予权领域，切实增强学院内涵实力、提升办学层次。</w:t>
      </w:r>
    </w:p>
    <w:p>
      <w:pPr>
        <w:pStyle w:val="9"/>
        <w:rPr>
          <w:rFonts w:ascii="仿宋_GB2312" w:eastAsia="仿宋_GB2312" w:cs="仿宋_GB2312"/>
          <w:sz w:val="32"/>
          <w:szCs w:val="32"/>
        </w:rPr>
      </w:pPr>
      <w:r>
        <w:rPr>
          <w:rFonts w:hint="eastAsia" w:ascii="仿宋_GB2312" w:eastAsia="仿宋_GB2312" w:cs="仿宋_GB2312"/>
          <w:sz w:val="32"/>
          <w:szCs w:val="32"/>
        </w:rPr>
        <w:t>到</w:t>
      </w:r>
      <w:r>
        <w:rPr>
          <w:rFonts w:ascii="仿宋_GB2312" w:eastAsia="仿宋_GB2312" w:cs="仿宋_GB2312"/>
          <w:sz w:val="32"/>
          <w:szCs w:val="32"/>
        </w:rPr>
        <w:t>2025</w:t>
      </w:r>
      <w:r>
        <w:rPr>
          <w:rFonts w:hint="eastAsia" w:ascii="仿宋_GB2312" w:eastAsia="仿宋_GB2312" w:cs="仿宋_GB2312"/>
          <w:sz w:val="32"/>
          <w:szCs w:val="32"/>
        </w:rPr>
        <w:t>年把学院初步建成“在行业内有一定影响、长三角地区有一定地位、省内高校中有一定学术话语权，个别学科达到博士点申报各项指标要求”的湖州师范大学艺术学院愿景。</w:t>
      </w:r>
      <w:r>
        <w:rPr>
          <w:rFonts w:ascii="仿宋_GB2312" w:eastAsia="仿宋_GB2312" w:cs="仿宋_GB2312"/>
          <w:sz w:val="32"/>
          <w:szCs w:val="32"/>
        </w:rPr>
        <w:t xml:space="preserve"> </w:t>
      </w:r>
    </w:p>
    <w:p>
      <w:pPr>
        <w:autoSpaceDE w:val="0"/>
        <w:autoSpaceDN w:val="0"/>
        <w:adjustRightInd w:val="0"/>
        <w:ind w:firstLine="640" w:firstLineChars="200"/>
        <w:jc w:val="left"/>
        <w:rPr>
          <w:rFonts w:ascii="黑体" w:eastAsia="黑体" w:cs="黑体"/>
          <w:color w:val="000000"/>
          <w:kern w:val="0"/>
          <w:sz w:val="32"/>
          <w:szCs w:val="32"/>
        </w:rPr>
      </w:pPr>
      <w:r>
        <w:rPr>
          <w:rFonts w:hint="eastAsia" w:ascii="黑体" w:eastAsia="黑体" w:cs="黑体"/>
          <w:color w:val="000000"/>
          <w:kern w:val="0"/>
          <w:sz w:val="32"/>
          <w:szCs w:val="32"/>
        </w:rPr>
        <w:t>二、发展指标</w:t>
      </w:r>
      <w:r>
        <w:rPr>
          <w:rFonts w:ascii="黑体" w:eastAsia="黑体" w:cs="黑体"/>
          <w:color w:val="000000"/>
          <w:kern w:val="0"/>
          <w:sz w:val="32"/>
          <w:szCs w:val="32"/>
        </w:rPr>
        <w:t xml:space="preserve"> </w:t>
      </w:r>
    </w:p>
    <w:p>
      <w:pPr>
        <w:pStyle w:val="9"/>
        <w:ind w:firstLine="640" w:firstLineChars="200"/>
        <w:rPr>
          <w:rFonts w:ascii="仿宋_GB2312" w:eastAsia="仿宋_GB2312" w:cs="仿宋_GB2312"/>
          <w:sz w:val="32"/>
          <w:szCs w:val="32"/>
        </w:rPr>
      </w:pPr>
      <w:r>
        <w:rPr>
          <w:rFonts w:hint="eastAsia" w:ascii="仿宋_GB2312" w:eastAsia="仿宋_GB2312" w:cs="仿宋_GB2312"/>
          <w:sz w:val="32"/>
          <w:szCs w:val="32"/>
        </w:rPr>
        <w:t>计划到</w:t>
      </w:r>
      <w:r>
        <w:rPr>
          <w:rFonts w:ascii="仿宋_GB2312" w:eastAsia="仿宋_GB2312" w:cs="仿宋_GB2312"/>
          <w:sz w:val="32"/>
          <w:szCs w:val="32"/>
        </w:rPr>
        <w:t>2025</w:t>
      </w:r>
      <w:r>
        <w:rPr>
          <w:rFonts w:hint="eastAsia" w:ascii="仿宋_GB2312" w:eastAsia="仿宋_GB2312" w:cs="仿宋_GB2312"/>
          <w:sz w:val="32"/>
          <w:szCs w:val="32"/>
        </w:rPr>
        <w:t>年，学院事业发展达到以下主要指标：</w:t>
      </w:r>
      <w:r>
        <w:rPr>
          <w:rFonts w:ascii="仿宋_GB2312" w:eastAsia="仿宋_GB2312" w:cs="仿宋_GB2312"/>
          <w:sz w:val="32"/>
          <w:szCs w:val="32"/>
        </w:rPr>
        <w:t xml:space="preserve"> </w:t>
      </w:r>
    </w:p>
    <w:p>
      <w:pPr>
        <w:pStyle w:val="9"/>
        <w:ind w:firstLine="643" w:firstLineChars="200"/>
        <w:rPr>
          <w:rFonts w:ascii="仿宋_GB2312" w:eastAsia="仿宋_GB2312" w:cs="仿宋_GB2312"/>
          <w:sz w:val="32"/>
          <w:szCs w:val="32"/>
        </w:rPr>
      </w:pPr>
      <w:r>
        <w:rPr>
          <w:rFonts w:hint="eastAsia" w:ascii="楷体" w:hAnsi="楷体" w:eastAsia="楷体" w:cs="楷体"/>
          <w:b/>
          <w:sz w:val="32"/>
          <w:szCs w:val="32"/>
        </w:rPr>
        <w:t>办学规模：</w:t>
      </w:r>
      <w:r>
        <w:rPr>
          <w:rFonts w:hint="eastAsia" w:ascii="仿宋_GB2312" w:eastAsia="仿宋_GB2312" w:cs="仿宋_GB2312"/>
          <w:sz w:val="32"/>
          <w:szCs w:val="32"/>
        </w:rPr>
        <w:t>坚持</w:t>
      </w:r>
      <w:r>
        <w:rPr>
          <w:rFonts w:hint="eastAsia" w:ascii="宋体" w:hAnsi="宋体" w:eastAsia="宋体" w:cs="宋体"/>
          <w:sz w:val="32"/>
          <w:szCs w:val="32"/>
        </w:rPr>
        <w:t>“</w:t>
      </w:r>
      <w:r>
        <w:rPr>
          <w:rFonts w:hint="eastAsia" w:ascii="仿宋_GB2312" w:hAnsi="仿宋_GB2312" w:eastAsia="仿宋_GB2312" w:cs="仿宋_GB2312"/>
          <w:sz w:val="32"/>
          <w:szCs w:val="32"/>
        </w:rPr>
        <w:t>以</w:t>
      </w:r>
      <w:r>
        <w:rPr>
          <w:rFonts w:hint="eastAsia" w:ascii="仿宋_GB2312" w:hAnsi="仿宋_GB2312" w:eastAsia="仿宋_GB2312" w:cs="仿宋_GB2312"/>
          <w:sz w:val="32"/>
          <w:szCs w:val="32"/>
          <w:lang w:val="en-US" w:eastAsia="zh-CN"/>
        </w:rPr>
        <w:t>生</w:t>
      </w:r>
      <w:r>
        <w:rPr>
          <w:rFonts w:hint="eastAsia" w:ascii="仿宋_GB2312" w:hAnsi="仿宋_GB2312" w:eastAsia="仿宋_GB2312" w:cs="仿宋_GB2312"/>
          <w:sz w:val="32"/>
          <w:szCs w:val="32"/>
        </w:rPr>
        <w:t>为本</w:t>
      </w:r>
      <w:r>
        <w:rPr>
          <w:rFonts w:hint="eastAsia" w:cs="MS Mincho" w:asciiTheme="minorEastAsia" w:hAnsiTheme="minorEastAsia" w:eastAsiaTheme="minorEastAsia"/>
          <w:sz w:val="32"/>
          <w:szCs w:val="32"/>
        </w:rPr>
        <w:t>”</w:t>
      </w:r>
      <w:r>
        <w:rPr>
          <w:rFonts w:hint="eastAsia" w:ascii="仿宋_GB2312" w:hAnsi="仿宋_GB2312" w:eastAsia="仿宋_GB2312" w:cs="仿宋_GB2312"/>
          <w:sz w:val="32"/>
          <w:szCs w:val="32"/>
        </w:rPr>
        <w:t>，全日制本科生在校生控制在</w:t>
      </w:r>
      <w:r>
        <w:rPr>
          <w:rFonts w:ascii="仿宋_GB2312" w:eastAsia="仿宋_GB2312" w:cs="仿宋_GB2312"/>
          <w:sz w:val="32"/>
          <w:szCs w:val="32"/>
        </w:rPr>
        <w:t>1000</w:t>
      </w:r>
      <w:r>
        <w:rPr>
          <w:rFonts w:hint="eastAsia" w:ascii="仿宋_GB2312" w:eastAsia="仿宋_GB2312" w:cs="仿宋_GB2312"/>
          <w:sz w:val="32"/>
          <w:szCs w:val="32"/>
        </w:rPr>
        <w:t>人以内；发展研究生教育，研究生</w:t>
      </w:r>
      <w:r>
        <w:rPr>
          <w:rFonts w:hint="eastAsia" w:ascii="仿宋_GB2312" w:hAnsi="仿宋_GB2312" w:eastAsia="仿宋_GB2312" w:cs="仿宋_GB2312"/>
          <w:sz w:val="32"/>
          <w:szCs w:val="32"/>
        </w:rPr>
        <w:t>在校生</w:t>
      </w:r>
      <w:r>
        <w:rPr>
          <w:rFonts w:hint="eastAsia" w:ascii="仿宋_GB2312" w:eastAsia="仿宋_GB2312" w:cs="仿宋_GB2312"/>
          <w:sz w:val="32"/>
          <w:szCs w:val="32"/>
        </w:rPr>
        <w:t>人数控制在20</w:t>
      </w:r>
      <w:r>
        <w:rPr>
          <w:rFonts w:ascii="仿宋_GB2312" w:eastAsia="仿宋_GB2312" w:cs="仿宋_GB2312"/>
          <w:sz w:val="32"/>
          <w:szCs w:val="32"/>
        </w:rPr>
        <w:t>0</w:t>
      </w:r>
      <w:r>
        <w:rPr>
          <w:rFonts w:hint="eastAsia" w:ascii="仿宋_GB2312" w:eastAsia="仿宋_GB2312" w:cs="仿宋_GB2312"/>
          <w:sz w:val="32"/>
          <w:szCs w:val="32"/>
        </w:rPr>
        <w:t>人左右。</w:t>
      </w:r>
    </w:p>
    <w:p>
      <w:pPr>
        <w:pStyle w:val="9"/>
        <w:ind w:firstLine="643" w:firstLineChars="200"/>
        <w:rPr>
          <w:rFonts w:ascii="仿宋_GB2312" w:eastAsia="仿宋_GB2312" w:cs="仿宋_GB2312"/>
          <w:sz w:val="32"/>
          <w:szCs w:val="32"/>
        </w:rPr>
      </w:pPr>
      <w:r>
        <w:rPr>
          <w:rFonts w:hint="eastAsia" w:ascii="楷体" w:hAnsi="楷体" w:eastAsia="楷体" w:cs="楷体"/>
          <w:b/>
          <w:sz w:val="32"/>
          <w:szCs w:val="32"/>
        </w:rPr>
        <w:t>学科专业：</w:t>
      </w:r>
      <w:r>
        <w:rPr>
          <w:rFonts w:hint="eastAsia" w:ascii="仿宋_GB2312" w:eastAsia="仿宋_GB2312" w:cs="仿宋_GB2312"/>
          <w:sz w:val="32"/>
          <w:szCs w:val="32"/>
        </w:rPr>
        <w:t>明确师范为基、应用为要、研究为魂，完善“</w:t>
      </w:r>
      <w:r>
        <w:rPr>
          <w:rFonts w:hint="eastAsia" w:ascii="仿宋_GB2312" w:hAnsi="仿宋_GB2312" w:eastAsia="仿宋_GB2312" w:cs="仿宋_GB2312"/>
          <w:sz w:val="32"/>
          <w:szCs w:val="32"/>
        </w:rPr>
        <w:t>师范传承</w:t>
      </w:r>
      <w:r>
        <w:rPr>
          <w:rFonts w:ascii="仿宋_GB2312" w:eastAsia="仿宋_GB2312" w:cs="仿宋_GB2312"/>
          <w:sz w:val="32"/>
          <w:szCs w:val="32"/>
        </w:rPr>
        <w:t>+</w:t>
      </w:r>
      <w:r>
        <w:rPr>
          <w:rFonts w:hint="eastAsia" w:ascii="仿宋_GB2312" w:eastAsia="仿宋_GB2312" w:cs="仿宋_GB2312"/>
          <w:sz w:val="32"/>
          <w:szCs w:val="32"/>
        </w:rPr>
        <w:t>时尚应用</w:t>
      </w:r>
      <w:r>
        <w:rPr>
          <w:rFonts w:hint="eastAsia" w:cs="MS Mincho" w:asciiTheme="minorEastAsia" w:hAnsiTheme="minorEastAsia" w:eastAsiaTheme="minorEastAsia"/>
          <w:sz w:val="32"/>
          <w:szCs w:val="32"/>
        </w:rPr>
        <w:t>”</w:t>
      </w:r>
      <w:r>
        <w:rPr>
          <w:rFonts w:hint="eastAsia" w:ascii="仿宋_GB2312" w:hAnsi="仿宋_GB2312" w:eastAsia="仿宋_GB2312" w:cs="仿宋_GB2312"/>
          <w:sz w:val="32"/>
          <w:szCs w:val="32"/>
        </w:rPr>
        <w:t>学科体系，艺术教育、</w:t>
      </w:r>
      <w:r>
        <w:rPr>
          <w:rFonts w:hint="eastAsia" w:ascii="仿宋_GB2312" w:eastAsia="仿宋_GB2312" w:cs="仿宋_GB2312"/>
          <w:sz w:val="32"/>
          <w:szCs w:val="32"/>
        </w:rPr>
        <w:t>环境艺术、时尚传播、日用产品、魅力童装五大发展领域，形成</w:t>
      </w:r>
      <w:r>
        <w:rPr>
          <w:rFonts w:hint="eastAsia" w:ascii="仿宋_GB2312" w:eastAsia="仿宋_GB2312" w:cs="仿宋_GB2312"/>
          <w:sz w:val="32"/>
          <w:szCs w:val="32"/>
          <w:lang w:val="en-US" w:eastAsia="zh-CN"/>
        </w:rPr>
        <w:t>两</w:t>
      </w:r>
      <w:r>
        <w:rPr>
          <w:rFonts w:hint="eastAsia" w:ascii="仿宋_GB2312" w:eastAsia="仿宋_GB2312" w:cs="仿宋_GB2312"/>
          <w:sz w:val="32"/>
          <w:szCs w:val="32"/>
        </w:rPr>
        <w:t>大重点学</w:t>
      </w:r>
      <w:r>
        <w:rPr>
          <w:rFonts w:hint="eastAsia" w:ascii="仿宋_GB2312" w:eastAsia="仿宋_GB2312" w:cs="仿宋_GB2312"/>
          <w:color w:val="auto"/>
          <w:sz w:val="32"/>
          <w:szCs w:val="32"/>
        </w:rPr>
        <w:t>科和</w:t>
      </w:r>
      <w:r>
        <w:rPr>
          <w:rFonts w:hint="eastAsia" w:ascii="仿宋_GB2312" w:eastAsia="仿宋_GB2312" w:cs="仿宋_GB2312"/>
          <w:color w:val="auto"/>
          <w:sz w:val="32"/>
          <w:szCs w:val="32"/>
          <w:lang w:val="en-US" w:eastAsia="zh-CN"/>
        </w:rPr>
        <w:t>六</w:t>
      </w:r>
      <w:r>
        <w:rPr>
          <w:rFonts w:hint="eastAsia" w:ascii="仿宋_GB2312" w:eastAsia="仿宋_GB2312" w:cs="仿宋_GB2312"/>
          <w:color w:val="auto"/>
          <w:sz w:val="32"/>
          <w:szCs w:val="32"/>
        </w:rPr>
        <w:t>大优势专业的发展架构</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专业硕士招生领域全覆盖</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1个学位点达到博士学位授权审核条件</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省一流学科1个，</w:t>
      </w:r>
      <w:r>
        <w:rPr>
          <w:rFonts w:hint="eastAsia" w:ascii="仿宋_GB2312" w:eastAsia="仿宋_GB2312" w:cs="仿宋_GB2312"/>
          <w:b/>
          <w:color w:val="auto"/>
          <w:sz w:val="32"/>
          <w:szCs w:val="32"/>
        </w:rPr>
        <w:t>省一流本科专业1-2个，</w:t>
      </w:r>
      <w:r>
        <w:rPr>
          <w:rFonts w:hint="eastAsia" w:ascii="仿宋_GB2312" w:eastAsia="仿宋_GB2312" w:cs="仿宋_GB2312"/>
          <w:color w:val="auto"/>
          <w:sz w:val="32"/>
          <w:szCs w:val="32"/>
        </w:rPr>
        <w:t>省一流</w:t>
      </w:r>
      <w:r>
        <w:rPr>
          <w:rFonts w:hint="eastAsia" w:ascii="仿宋_GB2312" w:eastAsia="仿宋_GB2312" w:cs="仿宋_GB2312"/>
          <w:sz w:val="32"/>
          <w:szCs w:val="32"/>
        </w:rPr>
        <w:t>本科课程4-5门，国内外认证专业数达到招生专业1个。</w:t>
      </w:r>
      <w:r>
        <w:rPr>
          <w:rFonts w:ascii="仿宋_GB2312" w:eastAsia="仿宋_GB2312" w:cs="仿宋_GB2312"/>
          <w:sz w:val="32"/>
          <w:szCs w:val="32"/>
        </w:rPr>
        <w:t xml:space="preserve"> </w:t>
      </w:r>
    </w:p>
    <w:p>
      <w:pPr>
        <w:pStyle w:val="9"/>
        <w:ind w:firstLine="643" w:firstLineChars="200"/>
        <w:rPr>
          <w:rFonts w:ascii="仿宋_GB2312" w:eastAsia="仿宋_GB2312" w:cs="仿宋_GB2312"/>
          <w:sz w:val="32"/>
          <w:szCs w:val="32"/>
        </w:rPr>
      </w:pPr>
      <w:r>
        <w:rPr>
          <w:rFonts w:hint="eastAsia" w:ascii="楷体" w:hAnsi="楷体" w:eastAsia="楷体" w:cs="楷体"/>
          <w:b/>
          <w:sz w:val="32"/>
          <w:szCs w:val="32"/>
        </w:rPr>
        <w:t>师资队伍：</w:t>
      </w:r>
      <w:r>
        <w:rPr>
          <w:rFonts w:hint="eastAsia" w:ascii="仿宋_GB2312" w:eastAsia="仿宋_GB2312" w:cs="仿宋_GB2312"/>
          <w:sz w:val="32"/>
          <w:szCs w:val="32"/>
        </w:rPr>
        <w:t>完善人才发展体系，加大引育力度，优化师资结构，提高师资水平。专任教师队伍总数达到7</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人；专任教师中具有博士学位的教师比例达到4</w:t>
      </w:r>
      <w:r>
        <w:rPr>
          <w:rFonts w:ascii="仿宋_GB2312" w:eastAsia="仿宋_GB2312" w:cs="仿宋_GB2312"/>
          <w:sz w:val="32"/>
          <w:szCs w:val="32"/>
        </w:rPr>
        <w:t>0%</w:t>
      </w:r>
      <w:r>
        <w:rPr>
          <w:rFonts w:hint="eastAsia" w:ascii="仿宋_GB2312" w:eastAsia="仿宋_GB2312" w:cs="仿宋_GB2312"/>
          <w:sz w:val="32"/>
          <w:szCs w:val="32"/>
        </w:rPr>
        <w:t>，师资</w:t>
      </w:r>
      <w:r>
        <w:rPr>
          <w:rFonts w:hint="eastAsia" w:ascii="仿宋_GB2312" w:eastAsia="仿宋_GB2312" w:cs="仿宋_GB2312"/>
          <w:sz w:val="32"/>
          <w:szCs w:val="32"/>
          <w:lang w:val="en-US" w:eastAsia="zh-CN"/>
        </w:rPr>
        <w:t>海外经历教师</w:t>
      </w:r>
      <w:r>
        <w:rPr>
          <w:rFonts w:hint="eastAsia" w:ascii="仿宋_GB2312" w:eastAsia="仿宋_GB2312" w:cs="仿宋_GB2312"/>
          <w:sz w:val="32"/>
          <w:szCs w:val="32"/>
        </w:rPr>
        <w:t>达到5</w:t>
      </w:r>
      <w:r>
        <w:rPr>
          <w:rFonts w:ascii="仿宋_GB2312" w:eastAsia="仿宋_GB2312" w:cs="仿宋_GB2312"/>
          <w:sz w:val="32"/>
          <w:szCs w:val="32"/>
        </w:rPr>
        <w:t>0%</w:t>
      </w:r>
      <w:r>
        <w:rPr>
          <w:rFonts w:hint="eastAsia" w:ascii="仿宋_GB2312" w:eastAsia="仿宋_GB2312" w:cs="仿宋_GB2312"/>
          <w:sz w:val="32"/>
          <w:szCs w:val="32"/>
        </w:rPr>
        <w:t>以上；高级职称36人，正高职称18人；新增国家级人才2人、省级人才2人；建成</w:t>
      </w:r>
      <w:r>
        <w:rPr>
          <w:rFonts w:ascii="仿宋_GB2312" w:eastAsia="仿宋_GB2312" w:cs="仿宋_GB2312"/>
          <w:sz w:val="32"/>
          <w:szCs w:val="32"/>
        </w:rPr>
        <w:t>10</w:t>
      </w:r>
      <w:r>
        <w:rPr>
          <w:rFonts w:hint="eastAsia" w:ascii="仿宋_GB2312" w:eastAsia="仿宋_GB2312" w:cs="仿宋_GB2312"/>
          <w:sz w:val="32"/>
          <w:szCs w:val="32"/>
        </w:rPr>
        <w:t xml:space="preserve">大科技创新团队，培育一批领军人才和学科带头人。   </w:t>
      </w:r>
    </w:p>
    <w:p>
      <w:pPr>
        <w:pStyle w:val="9"/>
        <w:ind w:firstLine="643" w:firstLineChars="200"/>
        <w:rPr>
          <w:sz w:val="32"/>
          <w:szCs w:val="32"/>
        </w:rPr>
      </w:pPr>
      <w:r>
        <w:rPr>
          <w:rFonts w:hint="eastAsia" w:ascii="楷体" w:hAnsi="楷体" w:eastAsia="楷体" w:cs="楷体"/>
          <w:b/>
          <w:sz w:val="32"/>
          <w:szCs w:val="32"/>
        </w:rPr>
        <w:t>人才培养：</w:t>
      </w:r>
      <w:r>
        <w:rPr>
          <w:rFonts w:hint="eastAsia" w:ascii="仿宋_GB2312" w:eastAsia="仿宋_GB2312" w:cs="仿宋_GB2312"/>
          <w:sz w:val="32"/>
          <w:szCs w:val="32"/>
        </w:rPr>
        <w:t>以“明体达用”人才培养为目标，不断推进“校地共育”人才培养模式改革。获得省级教学改革项目10项；获省级教学成果奖</w:t>
      </w:r>
      <w:r>
        <w:rPr>
          <w:rFonts w:ascii="仿宋_GB2312" w:eastAsia="仿宋_GB2312" w:cs="仿宋_GB2312"/>
          <w:sz w:val="32"/>
          <w:szCs w:val="32"/>
        </w:rPr>
        <w:t>1</w:t>
      </w:r>
      <w:r>
        <w:rPr>
          <w:rFonts w:hint="eastAsia" w:ascii="仿宋_GB2312" w:eastAsia="仿宋_GB2312" w:cs="仿宋_GB2312"/>
          <w:sz w:val="32"/>
          <w:szCs w:val="32"/>
        </w:rPr>
        <w:t>项；力争国家一流本科课程1门，国家精品在线开放课程2-</w:t>
      </w:r>
      <w:r>
        <w:rPr>
          <w:rFonts w:ascii="仿宋_GB2312" w:eastAsia="仿宋_GB2312" w:cs="仿宋_GB2312"/>
          <w:sz w:val="32"/>
          <w:szCs w:val="32"/>
        </w:rPr>
        <w:t>3</w:t>
      </w:r>
      <w:r>
        <w:rPr>
          <w:rFonts w:hint="eastAsia" w:ascii="仿宋_GB2312" w:eastAsia="仿宋_GB2312" w:cs="仿宋_GB2312"/>
          <w:sz w:val="32"/>
          <w:szCs w:val="32"/>
        </w:rPr>
        <w:t>个；国家级创新创业竞赛实现突破，省级以上A类学科竞赛一等奖获奖达到35项；国际标志性竞赛获奖3-5个；硕士学位论文抽检优良率85%，学生就业率达到95</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以上，学生满意度达85</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以上，学生考研率达到</w:t>
      </w:r>
      <w:r>
        <w:rPr>
          <w:rFonts w:ascii="仿宋_GB2312" w:eastAsia="仿宋_GB2312" w:cs="仿宋_GB2312"/>
          <w:sz w:val="32"/>
          <w:szCs w:val="32"/>
        </w:rPr>
        <w:t>20%</w:t>
      </w:r>
      <w:r>
        <w:rPr>
          <w:rFonts w:hint="eastAsia" w:ascii="仿宋_GB2312" w:eastAsia="仿宋_GB2312" w:cs="仿宋_GB2312"/>
          <w:sz w:val="32"/>
          <w:szCs w:val="32"/>
        </w:rPr>
        <w:t>以上；</w:t>
      </w:r>
    </w:p>
    <w:p>
      <w:pPr>
        <w:pStyle w:val="9"/>
        <w:ind w:firstLine="643" w:firstLineChars="200"/>
        <w:rPr>
          <w:sz w:val="32"/>
          <w:szCs w:val="32"/>
        </w:rPr>
      </w:pPr>
      <w:r>
        <w:rPr>
          <w:rFonts w:hint="eastAsia" w:ascii="楷体" w:hAnsi="楷体" w:eastAsia="楷体" w:cs="楷体"/>
          <w:b/>
          <w:sz w:val="32"/>
          <w:szCs w:val="32"/>
        </w:rPr>
        <w:t>科学研究：</w:t>
      </w:r>
      <w:r>
        <w:rPr>
          <w:rFonts w:hint="eastAsia" w:ascii="仿宋_GB2312" w:eastAsia="仿宋_GB2312" w:cs="仿宋_GB2312"/>
          <w:sz w:val="32"/>
          <w:szCs w:val="32"/>
        </w:rPr>
        <w:t>获教育部高校人文社会科学优秀成果奖1项；省哲学社会科学优秀成果奖</w:t>
      </w:r>
      <w:r>
        <w:rPr>
          <w:rFonts w:ascii="仿宋_GB2312" w:eastAsia="仿宋_GB2312" w:cs="仿宋_GB2312"/>
          <w:sz w:val="32"/>
          <w:szCs w:val="32"/>
        </w:rPr>
        <w:t>1-2</w:t>
      </w:r>
      <w:r>
        <w:rPr>
          <w:rFonts w:hint="eastAsia" w:ascii="仿宋_GB2312" w:eastAsia="仿宋_GB2312" w:cs="仿宋_GB2312"/>
          <w:sz w:val="32"/>
          <w:szCs w:val="32"/>
        </w:rPr>
        <w:t>项；国家级项目5项，省部级项目12项，实现国家艺术基金项目零的突破，力争获得3-5项。争取获批</w:t>
      </w:r>
      <w:r>
        <w:rPr>
          <w:rFonts w:ascii="仿宋_GB2312" w:eastAsia="仿宋_GB2312" w:cs="仿宋_GB2312"/>
          <w:sz w:val="32"/>
          <w:szCs w:val="32"/>
        </w:rPr>
        <w:t>1</w:t>
      </w:r>
      <w:r>
        <w:rPr>
          <w:rFonts w:hint="eastAsia" w:ascii="仿宋_GB2312" w:eastAsia="仿宋_GB2312" w:cs="仿宋_GB2312"/>
          <w:sz w:val="32"/>
          <w:szCs w:val="32"/>
        </w:rPr>
        <w:t>个省部级人文社科智库。科研经费达250万元。</w:t>
      </w:r>
      <w:r>
        <w:rPr>
          <w:rFonts w:ascii="仿宋_GB2312" w:eastAsia="仿宋_GB2312" w:cs="仿宋_GB2312"/>
          <w:sz w:val="32"/>
          <w:szCs w:val="32"/>
        </w:rPr>
        <w:t xml:space="preserve"> </w:t>
      </w:r>
    </w:p>
    <w:p>
      <w:pPr>
        <w:pStyle w:val="9"/>
        <w:ind w:firstLine="643" w:firstLineChars="200"/>
        <w:rPr>
          <w:rFonts w:ascii="仿宋_GB2312" w:eastAsia="仿宋_GB2312" w:cs="仿宋_GB2312"/>
          <w:sz w:val="32"/>
          <w:szCs w:val="32"/>
        </w:rPr>
      </w:pPr>
      <w:r>
        <w:rPr>
          <w:rFonts w:hint="eastAsia" w:ascii="楷体" w:hAnsi="楷体" w:eastAsia="楷体" w:cs="楷体"/>
          <w:b/>
          <w:sz w:val="32"/>
          <w:szCs w:val="32"/>
        </w:rPr>
        <w:t>社会服务：</w:t>
      </w:r>
      <w:r>
        <w:rPr>
          <w:rFonts w:hint="eastAsia" w:ascii="仿宋_GB2312" w:eastAsia="仿宋_GB2312" w:cs="仿宋_GB2312"/>
          <w:sz w:val="32"/>
          <w:szCs w:val="32"/>
        </w:rPr>
        <w:t>完善服务地方激励机制，落地高水平“城市与大学命运共同体”。与政府及企事业单位共建研发中心3-5个。力争百万以上项目3项以上，服务地方经费达1300万元以上；建成太湖设计研究院，筹建太湖书画研究院。</w:t>
      </w:r>
      <w:r>
        <w:rPr>
          <w:rFonts w:ascii="仿宋_GB2312" w:eastAsia="仿宋_GB2312" w:cs="仿宋_GB2312"/>
          <w:sz w:val="32"/>
          <w:szCs w:val="32"/>
        </w:rPr>
        <w:t xml:space="preserve"> </w:t>
      </w:r>
    </w:p>
    <w:p>
      <w:pPr>
        <w:pStyle w:val="9"/>
        <w:ind w:firstLine="643" w:firstLineChars="200"/>
        <w:rPr>
          <w:sz w:val="32"/>
          <w:szCs w:val="32"/>
        </w:rPr>
      </w:pPr>
      <w:r>
        <w:rPr>
          <w:rFonts w:hint="eastAsia" w:ascii="楷体" w:hAnsi="楷体" w:eastAsia="楷体" w:cs="楷体"/>
          <w:b/>
          <w:sz w:val="32"/>
          <w:szCs w:val="32"/>
        </w:rPr>
        <w:t>实验室建设：</w:t>
      </w:r>
      <w:r>
        <w:rPr>
          <w:rFonts w:hint="eastAsia" w:ascii="仿宋_GB2312" w:eastAsia="仿宋_GB2312" w:cs="仿宋_GB2312"/>
          <w:sz w:val="32"/>
          <w:szCs w:val="32"/>
        </w:rPr>
        <w:t>联合其他高校及科研院所共建省级以上科研平台1-2个；获得省级虚拟仿真实验教学项目4项；教学科研仪器设备总值达到1500万元</w:t>
      </w:r>
      <w:r>
        <w:rPr>
          <w:rFonts w:hint="eastAsia"/>
          <w:sz w:val="32"/>
          <w:szCs w:val="32"/>
        </w:rPr>
        <w:t>。</w:t>
      </w:r>
    </w:p>
    <w:p>
      <w:pPr>
        <w:pStyle w:val="9"/>
        <w:ind w:firstLine="643" w:firstLineChars="200"/>
        <w:rPr>
          <w:rFonts w:ascii="仿宋_GB2312" w:eastAsia="仿宋_GB2312" w:cs="仿宋_GB2312"/>
          <w:sz w:val="32"/>
          <w:szCs w:val="32"/>
        </w:rPr>
      </w:pPr>
      <w:r>
        <w:rPr>
          <w:rFonts w:hint="eastAsia" w:ascii="楷体" w:hAnsi="楷体" w:eastAsia="楷体" w:cs="楷体"/>
          <w:b/>
          <w:sz w:val="32"/>
          <w:szCs w:val="32"/>
        </w:rPr>
        <w:t>国际合作：</w:t>
      </w:r>
      <w:r>
        <w:rPr>
          <w:rFonts w:hint="eastAsia" w:ascii="仿宋_GB2312" w:eastAsia="仿宋_GB2312" w:cs="仿宋_GB2312"/>
          <w:sz w:val="32"/>
          <w:szCs w:val="32"/>
        </w:rPr>
        <w:t>国际合作高校达5所以上，与3个以上国际学术组织紧密合作与互动，中外合作项目1-2个；全英语和双语授课课程达到全院开设课程5</w:t>
      </w:r>
      <w:r>
        <w:rPr>
          <w:rFonts w:ascii="仿宋_GB2312" w:eastAsia="仿宋_GB2312" w:cs="仿宋_GB2312"/>
          <w:sz w:val="32"/>
          <w:szCs w:val="32"/>
        </w:rPr>
        <w:t>%</w:t>
      </w:r>
      <w:r>
        <w:rPr>
          <w:rFonts w:hint="eastAsia" w:ascii="仿宋_GB2312" w:eastAsia="仿宋_GB2312" w:cs="仿宋_GB2312"/>
          <w:sz w:val="32"/>
          <w:szCs w:val="32"/>
        </w:rPr>
        <w:t>以上。</w:t>
      </w:r>
      <w:r>
        <w:rPr>
          <w:rFonts w:ascii="仿宋_GB2312" w:eastAsia="仿宋_GB2312" w:cs="仿宋_GB2312"/>
          <w:sz w:val="32"/>
          <w:szCs w:val="32"/>
        </w:rPr>
        <w:t xml:space="preserve"> </w:t>
      </w:r>
    </w:p>
    <w:p>
      <w:pPr>
        <w:pStyle w:val="9"/>
        <w:ind w:firstLine="640" w:firstLineChars="200"/>
        <w:rPr>
          <w:rFonts w:ascii="仿宋_GB2312" w:eastAsia="仿宋_GB2312" w:cs="仿宋_GB2312"/>
          <w:sz w:val="32"/>
          <w:szCs w:val="32"/>
        </w:rPr>
      </w:pPr>
    </w:p>
    <w:p>
      <w:pPr>
        <w:autoSpaceDE w:val="0"/>
        <w:autoSpaceDN w:val="0"/>
        <w:adjustRightInd w:val="0"/>
        <w:jc w:val="center"/>
        <w:rPr>
          <w:rFonts w:ascii="黑体" w:eastAsia="黑体" w:cs="黑体"/>
          <w:color w:val="000000"/>
          <w:kern w:val="0"/>
          <w:sz w:val="32"/>
          <w:szCs w:val="32"/>
        </w:rPr>
      </w:pPr>
      <w:r>
        <w:rPr>
          <w:rFonts w:hint="eastAsia" w:cs="黑体" w:asciiTheme="majorEastAsia" w:hAnsiTheme="majorEastAsia" w:eastAsiaTheme="majorEastAsia"/>
          <w:b/>
          <w:color w:val="000000"/>
          <w:kern w:val="0"/>
          <w:sz w:val="44"/>
          <w:szCs w:val="44"/>
        </w:rPr>
        <w:t>第三部分 重点任务与主要工作</w:t>
      </w:r>
      <w:r>
        <w:rPr>
          <w:rFonts w:hint="eastAsia" w:ascii="黑体" w:eastAsia="黑体" w:cs="黑体"/>
          <w:color w:val="000000"/>
          <w:kern w:val="0"/>
          <w:sz w:val="32"/>
          <w:szCs w:val="32"/>
        </w:rPr>
        <w:t xml:space="preserve"> </w:t>
      </w:r>
    </w:p>
    <w:p>
      <w:pPr>
        <w:spacing w:line="480" w:lineRule="auto"/>
        <w:ind w:firstLine="590" w:firstLineChars="196"/>
        <w:rPr>
          <w:rFonts w:ascii="黑体" w:hAnsi="黑体" w:eastAsia="黑体" w:cs="仿宋_GB2312"/>
          <w:b/>
          <w:color w:val="000000"/>
          <w:kern w:val="0"/>
          <w:sz w:val="30"/>
          <w:szCs w:val="30"/>
        </w:rPr>
      </w:pPr>
    </w:p>
    <w:p>
      <w:pPr>
        <w:spacing w:line="480" w:lineRule="auto"/>
        <w:ind w:firstLine="588" w:firstLineChars="196"/>
        <w:rPr>
          <w:rFonts w:ascii="黑体" w:hAnsi="黑体" w:eastAsia="黑体" w:cs="仿宋_GB2312"/>
          <w:bCs/>
          <w:color w:val="000000"/>
          <w:kern w:val="0"/>
          <w:sz w:val="30"/>
          <w:szCs w:val="30"/>
        </w:rPr>
      </w:pPr>
      <w:r>
        <w:rPr>
          <w:rFonts w:hint="eastAsia" w:ascii="黑体" w:hAnsi="黑体" w:eastAsia="黑体" w:cs="仿宋_GB2312"/>
          <w:bCs/>
          <w:color w:val="000000"/>
          <w:kern w:val="0"/>
          <w:sz w:val="30"/>
          <w:szCs w:val="30"/>
        </w:rPr>
        <w:t>一、重点任务</w:t>
      </w:r>
    </w:p>
    <w:p>
      <w:pPr>
        <w:spacing w:line="480" w:lineRule="auto"/>
        <w:ind w:firstLine="630" w:firstLineChars="196"/>
        <w:rPr>
          <w:rFonts w:ascii="仿宋_GB2312" w:eastAsia="仿宋_GB2312" w:cs="仿宋_GB2312"/>
          <w:b/>
          <w:color w:val="000000"/>
          <w:kern w:val="0"/>
          <w:sz w:val="32"/>
          <w:szCs w:val="32"/>
        </w:rPr>
      </w:pPr>
      <w:r>
        <w:rPr>
          <w:rFonts w:hint="eastAsia" w:ascii="楷体" w:hAnsi="楷体" w:eastAsia="楷体" w:cs="楷体"/>
          <w:b/>
          <w:color w:val="000000"/>
          <w:kern w:val="0"/>
          <w:sz w:val="32"/>
          <w:szCs w:val="32"/>
        </w:rPr>
        <w:t>（一）硕士领域拓展工程</w:t>
      </w:r>
      <w:r>
        <w:rPr>
          <w:rFonts w:hint="eastAsia" w:ascii="仿宋_GB2312" w:eastAsia="仿宋_GB2312" w:cs="仿宋_GB2312"/>
          <w:b/>
          <w:color w:val="000000"/>
          <w:kern w:val="0"/>
          <w:sz w:val="32"/>
          <w:szCs w:val="32"/>
        </w:rPr>
        <w:t xml:space="preserve"> </w:t>
      </w:r>
    </w:p>
    <w:p>
      <w:pPr>
        <w:spacing w:line="480" w:lineRule="auto"/>
        <w:ind w:firstLine="627" w:firstLineChars="196"/>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依托两个一级学科，从团队凝练、特色培育、理论研究、专业创作、人才培养、本硕士联动、博士生联合培养等多个维度入手，夯实基础、勇抓机遇，切实做好“艺术硕士”领域拓展申报工作，实现硕士教育层次在美术、设计领域全覆盖。设计学科各项指标达到博士点申报要求，使办学层次进一步提升。</w:t>
      </w:r>
    </w:p>
    <w:p>
      <w:pPr>
        <w:spacing w:line="480" w:lineRule="auto"/>
        <w:ind w:firstLine="630" w:firstLineChars="196"/>
        <w:rPr>
          <w:rFonts w:ascii="仿宋_GB2312" w:eastAsia="仿宋_GB2312" w:cs="仿宋_GB2312"/>
          <w:b/>
          <w:color w:val="000000"/>
          <w:kern w:val="0"/>
          <w:sz w:val="32"/>
          <w:szCs w:val="32"/>
        </w:rPr>
      </w:pPr>
      <w:r>
        <w:rPr>
          <w:rFonts w:hint="eastAsia" w:ascii="楷体" w:hAnsi="楷体" w:eastAsia="楷体" w:cs="楷体"/>
          <w:b/>
          <w:color w:val="000000"/>
          <w:kern w:val="0"/>
          <w:sz w:val="32"/>
          <w:szCs w:val="32"/>
        </w:rPr>
        <w:t>（二）培养质量提升工程</w:t>
      </w:r>
      <w:r>
        <w:rPr>
          <w:rFonts w:hint="eastAsia" w:ascii="仿宋_GB2312" w:eastAsia="仿宋_GB2312" w:cs="仿宋_GB2312"/>
          <w:b/>
          <w:color w:val="000000"/>
          <w:kern w:val="0"/>
          <w:sz w:val="32"/>
          <w:szCs w:val="32"/>
        </w:rPr>
        <w:t xml:space="preserve"> </w:t>
      </w:r>
    </w:p>
    <w:p>
      <w:pPr>
        <w:spacing w:line="480" w:lineRule="auto"/>
        <w:ind w:firstLine="627" w:firstLineChars="196"/>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夯实“三创联合、五位一体”人才培养工程，加强二、三、四课堂与第一课堂协同。改革课程绩效计算与评价体系。通过毕业演出与创作、学科竞赛与展演、艺术团队等平台，强化实践实训；加强教学研究，争取10项以上省级教学项目。深化“校地共育”应用型人才培养模式改革，完善教学常规和档案管理，实现省级教学成果奖的零突破。加强实验室建设和管理，实现省级实验教学示范中心的突破。</w:t>
      </w:r>
    </w:p>
    <w:p>
      <w:pPr>
        <w:spacing w:line="480" w:lineRule="auto"/>
        <w:ind w:firstLine="630" w:firstLineChars="196"/>
        <w:rPr>
          <w:rFonts w:ascii="楷体" w:hAnsi="楷体" w:eastAsia="楷体" w:cs="楷体"/>
          <w:b/>
          <w:color w:val="000000"/>
          <w:kern w:val="0"/>
          <w:sz w:val="32"/>
          <w:szCs w:val="32"/>
        </w:rPr>
      </w:pPr>
      <w:r>
        <w:rPr>
          <w:rFonts w:hint="eastAsia" w:ascii="楷体" w:hAnsi="楷体" w:eastAsia="楷体" w:cs="楷体"/>
          <w:b/>
          <w:color w:val="000000"/>
          <w:kern w:val="0"/>
          <w:sz w:val="32"/>
          <w:szCs w:val="32"/>
        </w:rPr>
        <w:t xml:space="preserve">（三）师资团队优化工程 </w:t>
      </w:r>
    </w:p>
    <w:p>
      <w:pPr>
        <w:spacing w:line="480" w:lineRule="auto"/>
        <w:ind w:firstLine="57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继续加大引进力度，设计学重点引进博士和 “双师双能型”人才，注重国际化人才的引进；适当引进海外博士；美术学重点引进博士理论研究人才适当引进优秀创作型人才。通过优化学历结构、学缘结构、职称结构和专业结构；推动各一级学科形成良好的人才团队聚集效应；专任教师中具有博士学位教师比例达到40%以上。搭建教师发展平台，保证经费持续投入，促进教师对外构建有益的学术圈；</w:t>
      </w:r>
    </w:p>
    <w:p>
      <w:pPr>
        <w:spacing w:line="480" w:lineRule="auto"/>
        <w:ind w:firstLine="630" w:firstLineChars="196"/>
        <w:rPr>
          <w:rFonts w:ascii="楷体" w:hAnsi="楷体" w:eastAsia="楷体" w:cs="楷体"/>
          <w:b/>
          <w:color w:val="000000"/>
          <w:kern w:val="0"/>
          <w:sz w:val="32"/>
          <w:szCs w:val="32"/>
        </w:rPr>
      </w:pPr>
      <w:r>
        <w:rPr>
          <w:rFonts w:hint="eastAsia" w:ascii="楷体" w:hAnsi="楷体" w:eastAsia="楷体" w:cs="楷体"/>
          <w:b/>
          <w:color w:val="000000"/>
          <w:kern w:val="0"/>
          <w:sz w:val="32"/>
          <w:szCs w:val="32"/>
        </w:rPr>
        <w:t>（四）科学研究创新工程</w:t>
      </w:r>
    </w:p>
    <w:p>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完善教师科研业务档案，激励学院教师申报省部级和国家级研究项目，邀请校内外专家及国家项目评委持续指导和论证，遴选问题意识突出、研究方向明确、选题价值新颖、研究基础扎实、行文逻辑严密的项目文本，确保形成每年能有3-4项省部级项目获批的稳健态势，力争</w:t>
      </w:r>
      <w:r>
        <w:rPr>
          <w:rFonts w:ascii="仿宋_GB2312" w:eastAsia="仿宋_GB2312" w:cs="仿宋_GB2312"/>
          <w:color w:val="000000"/>
          <w:kern w:val="0"/>
          <w:sz w:val="32"/>
          <w:szCs w:val="32"/>
        </w:rPr>
        <w:t>5</w:t>
      </w:r>
      <w:r>
        <w:rPr>
          <w:rFonts w:hint="eastAsia" w:ascii="仿宋_GB2312" w:eastAsia="仿宋_GB2312" w:cs="仿宋_GB2312"/>
          <w:color w:val="000000"/>
          <w:kern w:val="0"/>
          <w:sz w:val="32"/>
          <w:szCs w:val="32"/>
        </w:rPr>
        <w:t>年内再次获批国家级项目5项、国家艺术基金项目1-</w:t>
      </w:r>
      <w:r>
        <w:rPr>
          <w:rFonts w:ascii="仿宋_GB2312" w:eastAsia="仿宋_GB2312" w:cs="仿宋_GB2312"/>
          <w:color w:val="000000"/>
          <w:kern w:val="0"/>
          <w:sz w:val="32"/>
          <w:szCs w:val="32"/>
        </w:rPr>
        <w:t>2</w:t>
      </w:r>
      <w:r>
        <w:rPr>
          <w:rFonts w:hint="eastAsia" w:ascii="仿宋_GB2312" w:eastAsia="仿宋_GB2312" w:cs="仿宋_GB2312"/>
          <w:color w:val="000000"/>
          <w:kern w:val="0"/>
          <w:sz w:val="32"/>
          <w:szCs w:val="32"/>
        </w:rPr>
        <w:t>项，纵向科研经费达25</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万元以上；实现省部级科研成果奖零的突破；培育建设省级人文社科研究基地1个，构建市级科研平台及机构2-</w:t>
      </w:r>
      <w:r>
        <w:rPr>
          <w:rFonts w:ascii="仿宋_GB2312" w:eastAsia="仿宋_GB2312" w:cs="仿宋_GB2312"/>
          <w:color w:val="000000"/>
          <w:kern w:val="0"/>
          <w:sz w:val="32"/>
          <w:szCs w:val="32"/>
        </w:rPr>
        <w:t>3</w:t>
      </w:r>
      <w:r>
        <w:rPr>
          <w:rFonts w:hint="eastAsia" w:ascii="仿宋_GB2312" w:eastAsia="仿宋_GB2312" w:cs="仿宋_GB2312"/>
          <w:color w:val="000000"/>
          <w:kern w:val="0"/>
          <w:sz w:val="32"/>
          <w:szCs w:val="32"/>
        </w:rPr>
        <w:t>个；每年发表高质量论文4</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余篇，5年内发表权威期刊</w:t>
      </w:r>
      <w:r>
        <w:rPr>
          <w:rFonts w:ascii="仿宋_GB2312" w:eastAsia="仿宋_GB2312" w:cs="仿宋_GB2312"/>
          <w:color w:val="000000"/>
          <w:kern w:val="0"/>
          <w:sz w:val="32"/>
          <w:szCs w:val="32"/>
        </w:rPr>
        <w:t>3</w:t>
      </w:r>
      <w:r>
        <w:rPr>
          <w:rFonts w:hint="eastAsia" w:ascii="仿宋_GB2312" w:eastAsia="仿宋_GB2312" w:cs="仿宋_GB2312"/>
          <w:color w:val="000000"/>
          <w:kern w:val="0"/>
          <w:sz w:val="32"/>
          <w:szCs w:val="32"/>
        </w:rPr>
        <w:t>-5篇、一级期刊1</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-15篇、出版专著15部，一级及以上的出版社专著</w:t>
      </w:r>
      <w:r>
        <w:rPr>
          <w:rFonts w:ascii="仿宋_GB2312" w:eastAsia="仿宋_GB2312" w:cs="仿宋_GB2312"/>
          <w:color w:val="000000"/>
          <w:kern w:val="0"/>
          <w:sz w:val="32"/>
          <w:szCs w:val="32"/>
        </w:rPr>
        <w:t>5</w:t>
      </w:r>
      <w:r>
        <w:rPr>
          <w:rFonts w:hint="eastAsia" w:ascii="仿宋_GB2312" w:eastAsia="仿宋_GB2312" w:cs="仿宋_GB2312"/>
          <w:color w:val="000000"/>
          <w:kern w:val="0"/>
          <w:sz w:val="32"/>
          <w:szCs w:val="32"/>
        </w:rPr>
        <w:t>部；获各类各级专业奖项4</w:t>
      </w:r>
      <w:r>
        <w:rPr>
          <w:rFonts w:ascii="仿宋_GB2312" w:eastAsia="仿宋_GB2312" w:cs="仿宋_GB2312"/>
          <w:color w:val="000000"/>
          <w:kern w:val="0"/>
          <w:sz w:val="32"/>
          <w:szCs w:val="32"/>
        </w:rPr>
        <w:t>00</w:t>
      </w:r>
      <w:r>
        <w:rPr>
          <w:rFonts w:hint="eastAsia" w:ascii="仿宋_GB2312" w:eastAsia="仿宋_GB2312" w:cs="仿宋_GB2312"/>
          <w:color w:val="000000"/>
          <w:kern w:val="0"/>
          <w:sz w:val="32"/>
          <w:szCs w:val="32"/>
        </w:rPr>
        <w:t>项，入选全国美展作品3件以上。</w:t>
      </w:r>
    </w:p>
    <w:p>
      <w:pPr>
        <w:spacing w:line="480" w:lineRule="auto"/>
        <w:ind w:firstLine="630" w:firstLineChars="196"/>
        <w:rPr>
          <w:rFonts w:ascii="楷体" w:hAnsi="楷体" w:eastAsia="楷体" w:cs="楷体"/>
          <w:b/>
          <w:color w:val="000000"/>
          <w:kern w:val="0"/>
          <w:sz w:val="32"/>
          <w:szCs w:val="32"/>
        </w:rPr>
      </w:pPr>
      <w:r>
        <w:rPr>
          <w:rFonts w:hint="eastAsia" w:ascii="楷体" w:hAnsi="楷体" w:eastAsia="楷体" w:cs="楷体"/>
          <w:b/>
          <w:color w:val="000000"/>
          <w:kern w:val="0"/>
          <w:sz w:val="32"/>
          <w:szCs w:val="32"/>
        </w:rPr>
        <w:t>（五）服务地方接轨工程</w:t>
      </w:r>
    </w:p>
    <w:p>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加强与市、区、行业企业合作，提升学院影响力，做实湖州市“文化强市”建设的高端智库。以设计学四个专业以及艺术硕士研究生为重点，加强与周边企事业单位的合作联系，新建和做实教学实践基地，接轨人才培养与社会应用，组建应用型科研团队，促进成果转化，实现地方院校与区域经济“政-产-学-研”的协同发展。与湖州市委宣传部、市文化广电旅游局、市经济和信息化局等政府部门和机构建立长效联系，协同文化创意、生态旅游与童装等产业集群，以及市美协、书协与设计联盟，聚焦文旅融合、乡村振兴、智慧城市、设计智造和公共艺术等方面的发展，不断推进服务地方工作的展开，力争建构1-3个特色化产业学院</w:t>
      </w:r>
      <w:r>
        <w:rPr>
          <w:rFonts w:hint="eastAsia" w:ascii="仿宋_GB2312" w:eastAsia="仿宋_GB2312" w:cs="仿宋_GB2312"/>
          <w:color w:val="000000"/>
          <w:kern w:val="0"/>
          <w:sz w:val="32"/>
          <w:szCs w:val="32"/>
          <w:lang w:eastAsia="zh-CN"/>
        </w:rPr>
        <w:t>、</w:t>
      </w:r>
      <w:r>
        <w:rPr>
          <w:rFonts w:hint="eastAsia" w:ascii="仿宋_GB2312" w:eastAsia="仿宋_GB2312" w:cs="仿宋_GB2312"/>
          <w:color w:val="000000"/>
          <w:kern w:val="0"/>
          <w:sz w:val="32"/>
          <w:szCs w:val="32"/>
        </w:rPr>
        <w:t>2-3个研究院</w:t>
      </w:r>
      <w:r>
        <w:rPr>
          <w:rFonts w:hint="eastAsia" w:ascii="仿宋_GB2312" w:eastAsia="仿宋_GB2312" w:cs="仿宋_GB2312"/>
          <w:color w:val="000000"/>
          <w:kern w:val="0"/>
          <w:sz w:val="32"/>
          <w:szCs w:val="32"/>
          <w:lang w:val="en-US" w:eastAsia="zh-CN"/>
        </w:rPr>
        <w:t>、</w:t>
      </w:r>
      <w:r>
        <w:rPr>
          <w:rFonts w:hint="eastAsia" w:ascii="仿宋_GB2312" w:eastAsia="仿宋_GB2312" w:cs="仿宋_GB2312"/>
          <w:color w:val="000000"/>
          <w:kern w:val="0"/>
          <w:sz w:val="32"/>
          <w:szCs w:val="32"/>
        </w:rPr>
        <w:t>3-5个共建研发基地，打造服务地方高地，凝练3支极具区域艺术特色、重点攻关的服务地方团队；签订横向项目</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rPr>
        <w:t>5</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项，到账经费总额13</w:t>
      </w:r>
      <w:r>
        <w:rPr>
          <w:rFonts w:ascii="仿宋_GB2312" w:eastAsia="仿宋_GB2312" w:cs="仿宋_GB2312"/>
          <w:color w:val="000000"/>
          <w:kern w:val="0"/>
          <w:sz w:val="32"/>
          <w:szCs w:val="32"/>
        </w:rPr>
        <w:t>00</w:t>
      </w:r>
      <w:r>
        <w:rPr>
          <w:rFonts w:hint="eastAsia" w:ascii="仿宋_GB2312" w:eastAsia="仿宋_GB2312" w:cs="仿宋_GB2312"/>
          <w:color w:val="000000"/>
          <w:kern w:val="0"/>
          <w:sz w:val="32"/>
          <w:szCs w:val="32"/>
        </w:rPr>
        <w:t>-1500万元；签约百万横向项目3-5项；同时做大“技能+学历”、中小学教师培训等继续教育项目，将服务的实力转化为盈利的能力。</w:t>
      </w:r>
    </w:p>
    <w:p>
      <w:pPr>
        <w:ind w:firstLine="480" w:firstLineChars="200"/>
        <w:rPr>
          <w:rFonts w:ascii="宋体" w:hAnsi="宋体" w:eastAsia="宋体"/>
          <w:sz w:val="24"/>
          <w:szCs w:val="24"/>
        </w:rPr>
      </w:pPr>
    </w:p>
    <w:p>
      <w:pPr>
        <w:spacing w:line="480" w:lineRule="auto"/>
        <w:ind w:firstLine="600" w:firstLineChars="200"/>
        <w:rPr>
          <w:rFonts w:ascii="黑体" w:hAnsi="黑体" w:eastAsia="黑体" w:cs="仿宋_GB2312"/>
          <w:b/>
          <w:color w:val="000000"/>
          <w:kern w:val="0"/>
          <w:sz w:val="30"/>
          <w:szCs w:val="30"/>
        </w:rPr>
      </w:pPr>
      <w:r>
        <w:rPr>
          <w:rFonts w:hint="eastAsia" w:ascii="黑体" w:hAnsi="黑体" w:eastAsia="黑体" w:cs="仿宋_GB2312"/>
          <w:bCs/>
          <w:color w:val="000000"/>
          <w:kern w:val="0"/>
          <w:sz w:val="30"/>
          <w:szCs w:val="30"/>
        </w:rPr>
        <w:t>二、主要工作</w:t>
      </w:r>
      <w:r>
        <w:rPr>
          <w:rFonts w:hint="eastAsia" w:ascii="黑体" w:hAnsi="黑体" w:eastAsia="黑体" w:cs="仿宋_GB2312"/>
          <w:b/>
          <w:color w:val="000000"/>
          <w:kern w:val="0"/>
          <w:sz w:val="30"/>
          <w:szCs w:val="30"/>
        </w:rPr>
        <w:t xml:space="preserve"> </w:t>
      </w:r>
    </w:p>
    <w:p>
      <w:pPr>
        <w:widowControl/>
        <w:spacing w:line="480" w:lineRule="auto"/>
        <w:ind w:firstLine="639" w:firstLineChars="199"/>
        <w:rPr>
          <w:rFonts w:ascii="仿宋_GB2312" w:eastAsia="仿宋_GB2312" w:cs="仿宋_GB2312"/>
          <w:b/>
          <w:color w:val="000000"/>
          <w:kern w:val="0"/>
          <w:sz w:val="32"/>
          <w:szCs w:val="32"/>
        </w:rPr>
      </w:pPr>
      <w:r>
        <w:rPr>
          <w:rFonts w:hint="eastAsia" w:ascii="楷体" w:hAnsi="楷体" w:eastAsia="楷体" w:cs="楷体"/>
          <w:b/>
          <w:color w:val="000000"/>
          <w:kern w:val="0"/>
          <w:sz w:val="32"/>
          <w:szCs w:val="32"/>
        </w:rPr>
        <w:t xml:space="preserve">（一）人才引育有作为，团队结构再优化 </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1.人才“外引”重质量。</w:t>
      </w:r>
      <w:r>
        <w:rPr>
          <w:rFonts w:hint="eastAsia" w:ascii="仿宋_GB2312" w:eastAsia="仿宋_GB2312" w:cs="仿宋_GB2312"/>
          <w:color w:val="000000"/>
          <w:kern w:val="0"/>
          <w:sz w:val="32"/>
          <w:szCs w:val="32"/>
        </w:rPr>
        <w:t>在学院三个一级学科整体发展不平衡、专业动态调整趋势明显的背景下，要摒弃应专业、应课程引人的观念，当紧密围绕学科建设的人才需求，大力引进既从事艺术实践又有研究基础的高层次人才。计划引进副教授及以上职称硕士及以上学历20人；计划专任教师博士比超过40%，通过引进激活提升存量师资队伍水平。</w:t>
      </w:r>
    </w:p>
    <w:p>
      <w:pPr>
        <w:widowControl/>
        <w:spacing w:line="480" w:lineRule="auto"/>
        <w:ind w:firstLine="636" w:firstLineChars="199"/>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设计学学科人才引进的重点是学科方向负责人2人、教授（或正高职称）6人，既具创新实践又有理论研究能力的硕士以上副教授（或高级工程师）15人；达到设计学博士点申报人才需求，切实推进设计学科应用型人才培养工作。美术学学科人才引进的重点是高层次的理论研究人才和创作类人才2-3名，达到独立培养美术领域艺术硕士培养要求。继续强化专业意识、第一学历意识和以德为先、德才兼备意识。</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2.人才“内培”聚焦职称与学历。</w:t>
      </w:r>
      <w:r>
        <w:rPr>
          <w:rFonts w:hint="eastAsia" w:ascii="仿宋_GB2312" w:eastAsia="仿宋_GB2312" w:cs="仿宋_GB2312"/>
          <w:color w:val="000000"/>
          <w:kern w:val="0"/>
          <w:sz w:val="32"/>
          <w:szCs w:val="32"/>
        </w:rPr>
        <w:t>关注新引进人才以及中青年教师的成长。要求新引进教师全员制定发展计划，学院各管理线要提供与创造条件，在职称直聘、人才项目、科研项目申报、成果奖申报、教学常规、教学方法、党群生活等方面提供帮助，使新教师能尽快融入学院发展事业。加强新引进教师任期考核，形成预警与退出机制；学院依据各学科具体发展需求，多举措为青年教师尽早达到职称晋升条件搭建平台。努力为更多副教授的晋升创造条件，逐步优化各学科团队职称结构。鼓励青年教师学历进修和参与境外高级访问学者进修，大力推动考博工作，继续推动教师在不影响正常教学工作的情况下在职赴境外攻读博士学位，扩大报考队伍和在读人数，督促在读博士按期完成学业。计划安排20位教师海外访学。大力发展双师双能型教师，支持教师挂职到企业技术蹲点与挂职锻炼。鼓励考评本行业技术职称、开展专业实践、联合其他高校和企业开展应用技术研究，计划新增“双师双能型”教师20人。</w:t>
      </w:r>
    </w:p>
    <w:p>
      <w:pPr>
        <w:widowControl/>
        <w:spacing w:line="480" w:lineRule="auto"/>
        <w:ind w:firstLine="639" w:firstLineChars="199"/>
        <w:rPr>
          <w:rFonts w:ascii="楷体" w:hAnsi="楷体" w:eastAsia="楷体" w:cs="楷体"/>
          <w:b/>
          <w:color w:val="000000"/>
          <w:kern w:val="0"/>
          <w:sz w:val="32"/>
          <w:szCs w:val="32"/>
        </w:rPr>
      </w:pPr>
      <w:r>
        <w:rPr>
          <w:rFonts w:hint="eastAsia" w:ascii="楷体" w:hAnsi="楷体" w:eastAsia="楷体" w:cs="楷体"/>
          <w:b/>
          <w:color w:val="000000"/>
          <w:kern w:val="0"/>
          <w:sz w:val="32"/>
          <w:szCs w:val="32"/>
        </w:rPr>
        <w:t>（二）学科建设渐行稳，硕士领域全覆盖</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1.全力做好“艺术硕士”合格评估工作。</w:t>
      </w:r>
      <w:r>
        <w:rPr>
          <w:rFonts w:hint="eastAsia" w:ascii="仿宋_GB2312" w:eastAsia="仿宋_GB2312" w:cs="仿宋_GB2312"/>
          <w:color w:val="000000"/>
          <w:kern w:val="0"/>
          <w:sz w:val="32"/>
          <w:szCs w:val="32"/>
        </w:rPr>
        <w:t>整合全院资源做好“艺术硕士”点的合格评估工作。凝练湖州师范学院艺术硕士点特色培养模式，高质量完成硕士点自评报告。做好专家预审工作。确保艺术硕士点顺利通过合格评估验收。</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2.稳妥做好艺术硕士点招生领域拓展工作。</w:t>
      </w:r>
      <w:r>
        <w:rPr>
          <w:rFonts w:hint="eastAsia" w:ascii="仿宋_GB2312" w:eastAsia="仿宋_GB2312" w:cs="仿宋_GB2312"/>
          <w:color w:val="000000"/>
          <w:kern w:val="0"/>
          <w:sz w:val="32"/>
          <w:szCs w:val="32"/>
        </w:rPr>
        <w:t>密切关注各学科发展动态，针对各领域关键指标进行审慎评估，以首次申报的标准，对标对表和动态发展趋势，填写领域增列申报表。努力推动美术领域增列成功，并确保招生后3年内能顺利通过合格评估验收。</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3.培育设计学科达到博士点申报要求</w:t>
      </w:r>
      <w:r>
        <w:rPr>
          <w:rFonts w:hint="eastAsia" w:ascii="仿宋_GB2312" w:eastAsia="仿宋_GB2312" w:cs="仿宋_GB2312"/>
          <w:b/>
          <w:color w:val="000000"/>
          <w:kern w:val="0"/>
          <w:sz w:val="32"/>
          <w:szCs w:val="32"/>
        </w:rPr>
        <w:t>。</w:t>
      </w:r>
      <w:r>
        <w:rPr>
          <w:rFonts w:hint="eastAsia" w:ascii="仿宋_GB2312" w:eastAsia="仿宋_GB2312" w:cs="仿宋_GB2312"/>
          <w:color w:val="000000"/>
          <w:kern w:val="0"/>
          <w:sz w:val="32"/>
          <w:szCs w:val="32"/>
        </w:rPr>
        <w:t>以学校“十四五”学科布局为契机，设计学在市重点学科和校特色学科基础上，对标对表申报省一流学科。整合学院资源，利用学校申报博士学位授予单位的契机，全力助推设计学科达到博士点申报各项指标要求。实现艺术学院人才培养层次再次跨跃。</w:t>
      </w:r>
    </w:p>
    <w:p>
      <w:pPr>
        <w:widowControl/>
        <w:spacing w:line="480" w:lineRule="auto"/>
        <w:ind w:firstLine="643" w:firstLineChars="200"/>
        <w:rPr>
          <w:rFonts w:ascii="楷体" w:hAnsi="楷体" w:eastAsia="楷体" w:cs="楷体"/>
          <w:b/>
          <w:sz w:val="32"/>
          <w:szCs w:val="32"/>
        </w:rPr>
      </w:pPr>
      <w:r>
        <w:rPr>
          <w:rFonts w:hint="eastAsia" w:ascii="楷体" w:hAnsi="楷体" w:eastAsia="楷体" w:cs="楷体"/>
          <w:b/>
          <w:color w:val="000000"/>
          <w:kern w:val="0"/>
          <w:sz w:val="32"/>
          <w:szCs w:val="32"/>
        </w:rPr>
        <w:t>（三）</w:t>
      </w:r>
      <w:r>
        <w:rPr>
          <w:rFonts w:hint="eastAsia" w:ascii="楷体" w:hAnsi="楷体" w:eastAsia="楷体" w:cs="楷体"/>
          <w:b/>
          <w:sz w:val="32"/>
          <w:szCs w:val="32"/>
        </w:rPr>
        <w:t>科学研究有创新，研究成果创新高</w:t>
      </w:r>
    </w:p>
    <w:p>
      <w:pPr>
        <w:widowControl/>
        <w:spacing w:line="480" w:lineRule="auto"/>
        <w:ind w:firstLine="643" w:firstLineChars="200"/>
        <w:rPr>
          <w:rFonts w:ascii="仿宋_GB2312" w:eastAsia="仿宋_GB2312" w:cs="仿宋_GB2312"/>
          <w:b/>
          <w:color w:val="000000"/>
          <w:kern w:val="0"/>
          <w:sz w:val="32"/>
          <w:szCs w:val="32"/>
        </w:rPr>
      </w:pPr>
      <w:r>
        <w:rPr>
          <w:rFonts w:hint="eastAsia" w:ascii="楷体" w:hAnsi="楷体" w:eastAsia="楷体" w:cs="楷体"/>
          <w:b/>
          <w:color w:val="000000"/>
          <w:kern w:val="0"/>
          <w:sz w:val="32"/>
          <w:szCs w:val="32"/>
        </w:rPr>
        <w:t>1.完善科研平台体系。</w:t>
      </w:r>
      <w:r>
        <w:rPr>
          <w:rFonts w:hint="eastAsia" w:ascii="仿宋_GB2312" w:eastAsia="仿宋_GB2312" w:cs="仿宋_GB2312"/>
          <w:color w:val="000000"/>
          <w:kern w:val="0"/>
          <w:sz w:val="32"/>
          <w:szCs w:val="32"/>
        </w:rPr>
        <w:t>在校级人文社科重点研究基地基础上，借助联合政府、企业和知名高校成立太湖书画研究院、太湖设计研究院，继续与浙江大学艺术与考古学院、浙江省社科院、故宫博物院举办地域美术史年会。通过邀请专家交流、鼓励教师参加学术会议扩大学术交流，为教师和学生构建学术圈创造条件。通过举办教师学术讲座、组建工作室营造浓厚学术氛围，凝练特色研究方向和研究团队，申报省、市级人文社科重点研究基地与新型智库。</w:t>
      </w:r>
    </w:p>
    <w:p>
      <w:pPr>
        <w:widowControl/>
        <w:spacing w:line="480" w:lineRule="auto"/>
        <w:ind w:firstLine="643" w:firstLineChars="200"/>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2.压实科研任务到人。</w:t>
      </w:r>
      <w:r>
        <w:rPr>
          <w:rFonts w:hint="eastAsia" w:ascii="仿宋_GB2312" w:eastAsia="仿宋_GB2312" w:cs="仿宋_GB2312"/>
          <w:color w:val="000000"/>
          <w:kern w:val="0"/>
          <w:sz w:val="32"/>
          <w:szCs w:val="32"/>
        </w:rPr>
        <w:t>以执行“第三轮岗位考核”和“第四轮岗位聘任”为契机，根据学院事业发展要求，将科研任务分解至系部和个人。并与年度考核、岗位考核聘任、学院职称前置与推荐排序挂钩。全员分层申报争取纵向科研新成绩。充分把握当前教师科研热情、项目申报率和成功率提升的趋势，继续实施“校-市-省-国”的全员动员、分层申报战略，要求有校级项目的老师去争取市厅级项目、副高及以上的教师去争取省部级项目、有省部级项目的老师去争取国家级项目。实现每位专任教师手上至少有在研项目2项以上。以骨干教师、新引进人才为核心组建学科研究团队，团队成员互相协同，力争在省部级项目的数量和质量上实现新提升，在国家级项目上取得更多立项。围绕艺术学学科特质，举办教师作品展，鼓励专业创作、展演，力争标志性、特色性指标，提升艺术创作水平，营造浓郁的专业氛围。</w:t>
      </w:r>
    </w:p>
    <w:p>
      <w:pPr>
        <w:widowControl/>
        <w:spacing w:line="480" w:lineRule="auto"/>
        <w:ind w:firstLine="643" w:firstLineChars="200"/>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3.着力培育省级以上科研成果奖。</w:t>
      </w:r>
      <w:r>
        <w:rPr>
          <w:rFonts w:hint="eastAsia" w:ascii="仿宋_GB2312" w:eastAsia="仿宋_GB2312" w:cs="仿宋_GB2312"/>
          <w:color w:val="000000"/>
          <w:kern w:val="0"/>
          <w:sz w:val="32"/>
          <w:szCs w:val="32"/>
        </w:rPr>
        <w:t>关注教师核心论文与专著出版情况，提前</w:t>
      </w:r>
      <w:r>
        <w:rPr>
          <w:rFonts w:hint="eastAsia" w:ascii="仿宋_GB2312" w:eastAsia="仿宋_GB2312" w:cs="仿宋_GB2312"/>
          <w:color w:val="000000"/>
          <w:kern w:val="0"/>
          <w:sz w:val="32"/>
          <w:szCs w:val="32"/>
          <w:lang w:val="en-US" w:eastAsia="zh-CN"/>
        </w:rPr>
        <w:t>筛</w:t>
      </w:r>
      <w:r>
        <w:rPr>
          <w:rFonts w:hint="eastAsia" w:ascii="仿宋_GB2312" w:eastAsia="仿宋_GB2312" w:cs="仿宋_GB2312"/>
          <w:color w:val="000000"/>
          <w:kern w:val="0"/>
          <w:sz w:val="32"/>
          <w:szCs w:val="32"/>
        </w:rPr>
        <w:t>选有科研成果奖培养前景的成果。做好引导与服务工作。在书评、引用、成果介绍等方面提前发力。邀请专家参与成果分享推介会，支持教师在各类学术会议上发表与演讲已取得的成果，扩大成果的学术影响力。</w:t>
      </w:r>
    </w:p>
    <w:p>
      <w:pPr>
        <w:widowControl/>
        <w:spacing w:line="480" w:lineRule="auto"/>
        <w:ind w:firstLine="643" w:firstLineChars="200"/>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4.大力推进地方服务工作。</w:t>
      </w:r>
      <w:r>
        <w:rPr>
          <w:rFonts w:hint="eastAsia" w:ascii="仿宋_GB2312" w:eastAsia="仿宋_GB2312" w:cs="仿宋_GB2312"/>
          <w:color w:val="000000"/>
          <w:kern w:val="0"/>
          <w:sz w:val="32"/>
          <w:szCs w:val="32"/>
        </w:rPr>
        <w:t>构建“艺术学院-产业学院与研究院-共建研发中心-研究教学实践基地”高效服务地方体系。围绕</w:t>
      </w:r>
      <w:r>
        <w:rPr>
          <w:rFonts w:hint="eastAsia" w:ascii="仿宋_GB2312" w:hAnsi="仿宋_GB2312" w:eastAsia="仿宋_GB2312" w:cs="仿宋_GB2312"/>
          <w:sz w:val="32"/>
          <w:szCs w:val="32"/>
        </w:rPr>
        <w:t>艺术教育、</w:t>
      </w:r>
      <w:r>
        <w:rPr>
          <w:rFonts w:hint="eastAsia" w:ascii="仿宋_GB2312" w:eastAsia="仿宋_GB2312" w:cs="仿宋_GB2312"/>
          <w:sz w:val="32"/>
          <w:szCs w:val="32"/>
        </w:rPr>
        <w:t>环境艺术、时尚传播、日用产品、魅力童装五大</w:t>
      </w:r>
      <w:r>
        <w:rPr>
          <w:rFonts w:hint="eastAsia" w:ascii="仿宋_GB2312" w:eastAsia="仿宋_GB2312" w:cs="仿宋_GB2312"/>
          <w:color w:val="000000"/>
          <w:kern w:val="0"/>
          <w:sz w:val="32"/>
          <w:szCs w:val="32"/>
        </w:rPr>
        <w:t>重点领域，深度介入湖州市装饰商会，协助</w:t>
      </w:r>
      <w:r>
        <w:rPr>
          <w:rFonts w:hint="eastAsia" w:ascii="仿宋_GB2312" w:eastAsia="仿宋_GB2312" w:cs="仿宋_GB2312"/>
          <w:color w:val="000000"/>
          <w:kern w:val="0"/>
          <w:sz w:val="32"/>
          <w:szCs w:val="32"/>
          <w:lang w:val="en-US" w:eastAsia="zh-CN"/>
        </w:rPr>
        <w:t>市</w:t>
      </w:r>
      <w:r>
        <w:rPr>
          <w:rFonts w:hint="eastAsia" w:ascii="仿宋_GB2312" w:eastAsia="仿宋_GB2312" w:cs="仿宋_GB2312"/>
          <w:color w:val="000000"/>
          <w:kern w:val="0"/>
          <w:sz w:val="32"/>
          <w:szCs w:val="32"/>
        </w:rPr>
        <w:t>经济</w:t>
      </w:r>
      <w:r>
        <w:rPr>
          <w:rFonts w:hint="eastAsia" w:ascii="仿宋_GB2312" w:eastAsia="仿宋_GB2312" w:cs="仿宋_GB2312"/>
          <w:color w:val="000000"/>
          <w:kern w:val="0"/>
          <w:sz w:val="32"/>
          <w:szCs w:val="32"/>
          <w:lang w:val="en-US" w:eastAsia="zh-CN"/>
        </w:rPr>
        <w:t>和</w:t>
      </w:r>
      <w:r>
        <w:rPr>
          <w:rFonts w:hint="eastAsia" w:ascii="仿宋_GB2312" w:eastAsia="仿宋_GB2312" w:cs="仿宋_GB2312"/>
          <w:color w:val="000000"/>
          <w:kern w:val="0"/>
          <w:sz w:val="32"/>
          <w:szCs w:val="32"/>
        </w:rPr>
        <w:t>信息化局成立湖州市工业设计协会，利用好1+X高级证书考核单位以及学院在湖州市书法家协会、湖州市美术家协会担任主席的优势，开展多种形式的服务地方工作，美术学领域主要依托与市文广新局等的合作深入融入地方文化建设；推进与天辰设计院等企事业单位和政府规划部门的合作。服装设计专业要利用好织里童装产业集群优势，对国内外童装面料款式及流行趋势预测展开研究，将每年的服装毕业成果展示做成当年全国童装设计前沿，以此取得在童装设计领域的话语权；产品设计专业要着眼于安吉绿色家居产业集群，以跨学科视野，关注地域特色材料，对生活日用产品展开系列化研究，在冲击国际设计奖的同时，转化设计成果，形成服务地方的实质力量。环境设计专业要聚焦国家住建部的政策导向，关注幸福城市与美丽乡村两大主题，在老小区改造、幸福城镇、美丽乡村升级上科研发力，在冲击每年一度的“中国人居环境设计奖”的同时，利用好“在湖州看见美丽中国”建设的契机，转化设计研究成果，争</w:t>
      </w:r>
      <w:r>
        <w:rPr>
          <w:rFonts w:hint="eastAsia" w:ascii="仿宋_GB2312" w:eastAsia="仿宋_GB2312" w:cs="仿宋_GB2312"/>
          <w:color w:val="000000"/>
          <w:kern w:val="0"/>
          <w:sz w:val="32"/>
          <w:szCs w:val="32"/>
          <w:lang w:val="en-US" w:eastAsia="zh-CN"/>
        </w:rPr>
        <w:t>取</w:t>
      </w:r>
      <w:r>
        <w:rPr>
          <w:rFonts w:hint="eastAsia" w:ascii="仿宋_GB2312" w:eastAsia="仿宋_GB2312" w:cs="仿宋_GB2312"/>
          <w:color w:val="000000"/>
          <w:kern w:val="0"/>
          <w:sz w:val="32"/>
          <w:szCs w:val="32"/>
        </w:rPr>
        <w:t>大项目、拿大单子；视觉传达设计专业要密切关注当前传播载体的转变，注重数字和移动终端的传达设计，在数字媒体、传播互动上下功夫转型与研究，力争每位教师从静态图形动态影像能运用自如，在冲击国内外有影响的设计大奖同时。能对企业动态形象设计领域有独到的研究，形成服务地方核心竞争力。做大“技能+学历”、中小学教师培训等继续教育项目，将服务的实力转化为盈利的能力。</w:t>
      </w:r>
    </w:p>
    <w:p>
      <w:pPr>
        <w:pStyle w:val="10"/>
        <w:widowControl/>
        <w:numPr>
          <w:ilvl w:val="0"/>
          <w:numId w:val="6"/>
        </w:numPr>
        <w:spacing w:line="480" w:lineRule="auto"/>
        <w:ind w:firstLineChars="0"/>
        <w:rPr>
          <w:rFonts w:ascii="楷体" w:hAnsi="楷体" w:eastAsia="楷体" w:cs="楷体"/>
          <w:b/>
          <w:color w:val="000000"/>
          <w:kern w:val="0"/>
          <w:sz w:val="32"/>
          <w:szCs w:val="32"/>
        </w:rPr>
      </w:pPr>
      <w:r>
        <w:rPr>
          <w:rFonts w:hint="eastAsia" w:ascii="楷体" w:hAnsi="楷体" w:eastAsia="楷体" w:cs="楷体"/>
          <w:b/>
          <w:color w:val="000000"/>
          <w:kern w:val="0"/>
          <w:sz w:val="32"/>
          <w:szCs w:val="32"/>
        </w:rPr>
        <w:t>人才培养重内涵，教学成果新突破</w:t>
      </w:r>
    </w:p>
    <w:p>
      <w:pPr>
        <w:pStyle w:val="10"/>
        <w:numPr>
          <w:ilvl w:val="0"/>
          <w:numId w:val="7"/>
        </w:numPr>
        <w:ind w:firstLineChars="0"/>
        <w:rPr>
          <w:rFonts w:ascii="楷体" w:hAnsi="楷体" w:eastAsia="楷体" w:cs="楷体"/>
          <w:b/>
          <w:color w:val="000000"/>
          <w:kern w:val="0"/>
          <w:sz w:val="32"/>
          <w:szCs w:val="32"/>
        </w:rPr>
      </w:pPr>
      <w:r>
        <w:rPr>
          <w:rFonts w:hint="eastAsia" w:ascii="楷体" w:hAnsi="楷体" w:eastAsia="楷体" w:cs="楷体"/>
          <w:b/>
          <w:color w:val="000000"/>
          <w:kern w:val="0"/>
          <w:sz w:val="32"/>
          <w:szCs w:val="32"/>
        </w:rPr>
        <w:t>提升育人质量，美术师范通过二级认证</w:t>
      </w:r>
    </w:p>
    <w:p>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应对长三角区域一体化对拥有“创新-创意-创业”三创能力应用型艺术（师范）人才的迫切需求，坚守“学生中心，产出导向，持续改进“教育理念，持续深化人才培养方案改革，改变设计专业大类招生模式，分专业单独招生。狠抓师德师风建设和学风建设，落实立德树人根本任务，全面推进课程思政。构建新时代二级学院教学督导体系，完善教学质量监控，加大毕业论文（设计）抽检力度，加强各项教学常规工作检查。确保本科生毕业率、学位授予率提升至90%以上，就业率至95%以上，学生对母校满意度达90%以上，学生考研率达到20%以上。提升学科竞赛和课题立项等级，五年内力争学科/专业A类一等奖获得40项。学生发表专业论文100篇，获批专利15项。美术学（师范）通过国家师范专业二级认证。</w:t>
      </w:r>
    </w:p>
    <w:p>
      <w:pPr>
        <w:pStyle w:val="10"/>
        <w:numPr>
          <w:ilvl w:val="0"/>
          <w:numId w:val="7"/>
        </w:numPr>
        <w:ind w:firstLineChars="0"/>
        <w:rPr>
          <w:rFonts w:ascii="楷体" w:hAnsi="楷体" w:eastAsia="楷体" w:cs="楷体"/>
          <w:b/>
          <w:color w:val="000000"/>
          <w:kern w:val="0"/>
          <w:sz w:val="32"/>
          <w:szCs w:val="32"/>
        </w:rPr>
      </w:pPr>
      <w:r>
        <w:rPr>
          <w:rFonts w:hint="eastAsia" w:ascii="楷体" w:hAnsi="楷体" w:eastAsia="楷体" w:cs="楷体"/>
          <w:b/>
          <w:color w:val="000000"/>
          <w:kern w:val="0"/>
          <w:sz w:val="32"/>
          <w:szCs w:val="32"/>
        </w:rPr>
        <w:t>强化专业建设，力争省级教学成果奖</w:t>
      </w:r>
    </w:p>
    <w:p>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组</w:t>
      </w:r>
      <w:r>
        <w:rPr>
          <w:rFonts w:hint="eastAsia" w:ascii="仿宋_GB2312" w:eastAsia="仿宋_GB2312" w:cs="仿宋_GB2312"/>
          <w:color w:val="000000"/>
          <w:kern w:val="0"/>
          <w:sz w:val="32"/>
          <w:szCs w:val="32"/>
          <w:lang w:val="en-US" w:eastAsia="zh-CN"/>
        </w:rPr>
        <w:t>建</w:t>
      </w:r>
      <w:r>
        <w:rPr>
          <w:rFonts w:hint="eastAsia" w:ascii="仿宋_GB2312" w:eastAsia="仿宋_GB2312" w:cs="仿宋_GB2312"/>
          <w:color w:val="000000"/>
          <w:kern w:val="0"/>
          <w:sz w:val="32"/>
          <w:szCs w:val="32"/>
        </w:rPr>
        <w:t>高水平专业建设团队，加强基层教学组织管理与运作。定期开展“讲、听、评”系列活动，每学期推出专业公开课，营造良好教研氛围。在教学团队、课程、教材、教改项目上加大组织申报力度，推进“互联网+”“智慧+”课堂教学改革。探索现代产业学院建设。优化教学业绩评价模式，落实第二课堂教学工作量计算与发放，修订《湖州师范学院艺术学院教师教学工作业绩考核实施细则》（湖师艺术发〔2015〕11号），完善教学质量保障体系。</w:t>
      </w:r>
    </w:p>
    <w:p>
      <w:pPr>
        <w:pStyle w:val="10"/>
        <w:numPr>
          <w:ilvl w:val="0"/>
          <w:numId w:val="7"/>
        </w:numPr>
        <w:ind w:firstLineChars="0"/>
        <w:rPr>
          <w:rFonts w:ascii="楷体" w:hAnsi="楷体" w:eastAsia="楷体" w:cs="楷体"/>
          <w:b/>
          <w:color w:val="000000"/>
          <w:kern w:val="0"/>
          <w:sz w:val="32"/>
          <w:szCs w:val="32"/>
        </w:rPr>
      </w:pPr>
      <w:r>
        <w:rPr>
          <w:rFonts w:hint="eastAsia" w:ascii="楷体" w:hAnsi="楷体" w:eastAsia="楷体" w:cs="楷体"/>
          <w:b/>
          <w:color w:val="000000"/>
          <w:kern w:val="0"/>
          <w:sz w:val="32"/>
          <w:szCs w:val="32"/>
        </w:rPr>
        <w:t>深化校地共育，实现学生专业应用能力</w:t>
      </w:r>
    </w:p>
    <w:p>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落实“多线程学习、产教协同创新”的教学理念，建设覆盖“专业—产业-行业—市场”一体化的众创空间和大学生校外实践教育基地。五年内签订优质实践基地30个，完善实践教学育人模式，对标专业认证要求，严格规范和确保师范三习和专业实习的工作和成效。拓展实践教学内容的深度和广度，继续探索“校企/校校一体化”育人模式，五年内开发一批特色课程，培育新教学成果奖。强化师范生技能训练，抓好教师资格证考试辅导工作，力争美术教资通过率达9</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。扎实推进教育国际化，配合学校开展留学生教育和国境外交换生工作，参与孔子学院的艺术类教育和师生交流工作。</w:t>
      </w:r>
    </w:p>
    <w:p>
      <w:pPr>
        <w:ind w:firstLine="643" w:firstLineChars="200"/>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4.推进实验室建设，凝练省级中心。</w:t>
      </w:r>
      <w:r>
        <w:rPr>
          <w:rFonts w:hint="eastAsia" w:ascii="仿宋_GB2312" w:eastAsia="仿宋_GB2312" w:cs="仿宋_GB2312"/>
          <w:color w:val="000000"/>
          <w:kern w:val="0"/>
          <w:sz w:val="32"/>
          <w:szCs w:val="32"/>
        </w:rPr>
        <w:t>整合现有实验室，拓展外部资源，进一步有序、高质地推进实验室调整与新建工作，分区块构建美术学、视觉传达设计、环境设计与服装与服饰设计几个专业教室、实验室和工作室集聚区，做好维护工作，在保障教学需要的基础上拓展课外实训功能。抓实量化管理与考核，凝练特色，申报省级实验教学示范中心。</w:t>
      </w:r>
    </w:p>
    <w:p>
      <w:pPr>
        <w:widowControl/>
        <w:spacing w:line="480" w:lineRule="auto"/>
        <w:ind w:firstLine="639" w:firstLineChars="199"/>
        <w:rPr>
          <w:rFonts w:ascii="楷体" w:hAnsi="楷体" w:eastAsia="楷体" w:cs="楷体"/>
          <w:b/>
          <w:color w:val="000000"/>
          <w:kern w:val="0"/>
          <w:sz w:val="32"/>
          <w:szCs w:val="32"/>
        </w:rPr>
      </w:pPr>
      <w:r>
        <w:rPr>
          <w:rFonts w:hint="eastAsia" w:ascii="楷体" w:hAnsi="楷体" w:eastAsia="楷体" w:cs="楷体"/>
          <w:b/>
          <w:color w:val="000000"/>
          <w:kern w:val="0"/>
          <w:sz w:val="32"/>
          <w:szCs w:val="32"/>
        </w:rPr>
        <w:t xml:space="preserve">（五）党建思政思路新，凝心聚力保发展 </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1.党组织建设。</w:t>
      </w:r>
      <w:r>
        <w:rPr>
          <w:rFonts w:hint="eastAsia" w:ascii="仿宋_GB2312" w:eastAsia="仿宋_GB2312" w:cs="仿宋_GB2312"/>
          <w:color w:val="000000"/>
          <w:kern w:val="0"/>
          <w:sz w:val="32"/>
          <w:szCs w:val="32"/>
        </w:rPr>
        <w:t>加强学院领导班子建设，明确职责、加强团结，不断完善党委会议、党政联席会议等制度，强化党政协同创新。逐步推动“一切工作到支部”，积极探索支部工作与教学、科研、学生管理服务等紧密融合的作用发挥机制，结合实际推动“一支部一特色”，争创有艺术专业特色的党建品牌。推进教师支部“双带头人”培育工程，认真落实“三会一课”、主题党日、支部书记述职、党员民主评议等基本制度。加强党员教育管理服务监督，认真做好在师生中发展党员工作。</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2.干部队伍建设。</w:t>
      </w:r>
      <w:r>
        <w:rPr>
          <w:rFonts w:hint="eastAsia" w:ascii="仿宋_GB2312" w:eastAsia="仿宋_GB2312" w:cs="仿宋_GB2312"/>
          <w:color w:val="000000"/>
          <w:kern w:val="0"/>
          <w:sz w:val="32"/>
          <w:szCs w:val="32"/>
        </w:rPr>
        <w:t>选好配强学院内设中层干部：在学校统筹调配科级干部的基础上，结合学院发展实际，合理设置干部职数，加强对业务骨干、学科带头人等的使用力度，把想做事、能做事、有奉献精神的优秀人才放到干部岗位上来。加强对学院内设中层干部的培养爱护与考核监督：制订培养方案，给予相应职务补贴，明确岗位职责，建立目标考核与监督管理等机制。</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3.师德师风建设。</w:t>
      </w:r>
      <w:r>
        <w:rPr>
          <w:rFonts w:hint="eastAsia" w:ascii="仿宋_GB2312" w:eastAsia="仿宋_GB2312" w:cs="仿宋_GB2312"/>
          <w:color w:val="000000"/>
          <w:kern w:val="0"/>
          <w:sz w:val="32"/>
          <w:szCs w:val="32"/>
        </w:rPr>
        <w:t>根据学校《关于加强和改进新时代师德师风的实施意见》《教师师德师风失范行为处理办法（试行）》《教师职业道德守则和行为规范》《拟入职教师思想政治与品德综合考察工作规程（试行）》四个文件精神，进一步加强师德师风建设。认真抓好教师的政治理论学习，以教风为抓手，教育引导教师不断提升政治理论修养、道德品质修养和教育教学水平，争做“四有”好教师。</w:t>
      </w:r>
    </w:p>
    <w:p>
      <w:pPr>
        <w:widowControl/>
        <w:spacing w:line="480" w:lineRule="auto"/>
        <w:ind w:firstLine="639" w:firstLineChars="199"/>
        <w:rPr>
          <w:rFonts w:ascii="仿宋_GB2312" w:eastAsia="仿宋_GB2312" w:cs="仿宋_GB2312"/>
          <w:color w:val="000000"/>
          <w:kern w:val="0"/>
          <w:sz w:val="32"/>
          <w:szCs w:val="32"/>
        </w:rPr>
      </w:pPr>
      <w:r>
        <w:rPr>
          <w:rFonts w:hint="eastAsia" w:ascii="楷体" w:hAnsi="楷体" w:eastAsia="楷体" w:cs="楷体"/>
          <w:b/>
          <w:color w:val="000000"/>
          <w:kern w:val="0"/>
          <w:sz w:val="32"/>
          <w:szCs w:val="32"/>
        </w:rPr>
        <w:t>4.清廉学院建设。</w:t>
      </w:r>
      <w:r>
        <w:rPr>
          <w:rFonts w:hint="eastAsia" w:ascii="仿宋_GB2312" w:eastAsia="仿宋_GB2312" w:cs="仿宋_GB2312"/>
          <w:color w:val="000000"/>
          <w:kern w:val="0"/>
          <w:sz w:val="32"/>
          <w:szCs w:val="32"/>
        </w:rPr>
        <w:t>深入贯彻全面从严治党，进一步提高政治站位，旗帜鲜明地强化政治监督，严格执行中央八项规定等精神，认真落实好我校《二级单位党风廉政建设主体责任清单》中的各项内容，同时根据《中国共产党廉洁自律准则》等文件精神，组织开展形式多样的廉政教育，每年召开专题廉政分析会，认真开展自查自纠。</w:t>
      </w:r>
    </w:p>
    <w:p>
      <w:pPr>
        <w:widowControl/>
        <w:spacing w:line="480" w:lineRule="auto"/>
        <w:ind w:firstLine="639" w:firstLineChars="199"/>
        <w:rPr>
          <w:rFonts w:ascii="仿宋_GB2312" w:eastAsia="仿宋_GB2312" w:cs="仿宋_GB2312"/>
          <w:kern w:val="0"/>
          <w:sz w:val="32"/>
          <w:szCs w:val="32"/>
        </w:rPr>
      </w:pPr>
      <w:r>
        <w:rPr>
          <w:rFonts w:hint="eastAsia" w:ascii="楷体" w:hAnsi="楷体" w:eastAsia="楷体" w:cs="楷体"/>
          <w:b/>
          <w:color w:val="000000"/>
          <w:kern w:val="0"/>
          <w:sz w:val="32"/>
          <w:szCs w:val="32"/>
        </w:rPr>
        <w:t>5.民主治院工作。</w:t>
      </w:r>
      <w:r>
        <w:rPr>
          <w:rFonts w:hint="eastAsia" w:ascii="仿宋_GB2312" w:eastAsia="仿宋_GB2312" w:cs="仿宋_GB2312"/>
          <w:color w:val="000000"/>
          <w:kern w:val="0"/>
          <w:sz w:val="32"/>
          <w:szCs w:val="32"/>
        </w:rPr>
        <w:t>坚持依法治院、民主管理，推进院务公开，完善综合治理，</w:t>
      </w:r>
      <w:r>
        <w:rPr>
          <w:rFonts w:hint="eastAsia" w:ascii="仿宋_GB2312" w:eastAsia="仿宋_GB2312" w:cs="仿宋_GB2312"/>
          <w:kern w:val="0"/>
          <w:sz w:val="32"/>
          <w:szCs w:val="32"/>
        </w:rPr>
        <w:t>发挥好教代会、学术分委员会、分工会、分团委、学生会等组织，以及民主党派、无党派人士在学院发展中的作用。完善领导班子联系基层制度，进一步改进作风、优化服务。加强与校友的联络联谊，推进校友工作，充分凝聚广大校友力量为学院和学校发展贡献聪明才智。</w:t>
      </w:r>
    </w:p>
    <w:p>
      <w:pPr>
        <w:widowControl/>
        <w:spacing w:line="480" w:lineRule="auto"/>
        <w:ind w:firstLine="639" w:firstLineChars="199"/>
        <w:rPr>
          <w:rFonts w:ascii="仿宋_GB2312" w:eastAsia="仿宋_GB2312" w:cs="仿宋_GB2312"/>
          <w:b/>
          <w:color w:val="000000"/>
          <w:kern w:val="0"/>
          <w:sz w:val="32"/>
          <w:szCs w:val="32"/>
        </w:rPr>
      </w:pPr>
      <w:r>
        <w:rPr>
          <w:rFonts w:hint="eastAsia" w:ascii="楷体" w:hAnsi="楷体" w:eastAsia="楷体" w:cs="楷体"/>
          <w:b/>
          <w:color w:val="000000"/>
          <w:kern w:val="0"/>
          <w:sz w:val="32"/>
          <w:szCs w:val="32"/>
        </w:rPr>
        <w:t>（六）学生工作抓</w:t>
      </w:r>
      <w:r>
        <w:rPr>
          <w:rFonts w:hint="eastAsia" w:ascii="楷体" w:hAnsi="楷体" w:eastAsia="楷体" w:cs="楷体"/>
          <w:b/>
          <w:color w:val="000000"/>
          <w:kern w:val="0"/>
          <w:sz w:val="32"/>
          <w:szCs w:val="32"/>
          <w:lang w:val="en-US" w:eastAsia="zh-CN"/>
        </w:rPr>
        <w:t>实效</w:t>
      </w:r>
      <w:r>
        <w:rPr>
          <w:rFonts w:hint="eastAsia" w:ascii="楷体" w:hAnsi="楷体" w:eastAsia="楷体" w:cs="楷体"/>
          <w:b/>
          <w:color w:val="000000"/>
          <w:kern w:val="0"/>
          <w:sz w:val="32"/>
          <w:szCs w:val="32"/>
        </w:rPr>
        <w:t>，特色平台助成长</w:t>
      </w:r>
      <w:r>
        <w:rPr>
          <w:rFonts w:hint="eastAsia" w:ascii="仿宋_GB2312" w:eastAsia="仿宋_GB2312" w:cs="仿宋_GB2312"/>
          <w:b/>
          <w:color w:val="000000"/>
          <w:kern w:val="0"/>
          <w:sz w:val="32"/>
          <w:szCs w:val="32"/>
        </w:rPr>
        <w:t xml:space="preserve"> </w:t>
      </w:r>
    </w:p>
    <w:p>
      <w:pPr>
        <w:spacing w:line="480" w:lineRule="auto"/>
        <w:ind w:firstLine="643" w:firstLineChars="200"/>
        <w:rPr>
          <w:rFonts w:hint="eastAsia" w:ascii="仿宋_GB2312" w:eastAsia="仿宋_GB2312" w:cs="仿宋_GB2312"/>
          <w:b/>
          <w:color w:val="000000"/>
          <w:kern w:val="0"/>
          <w:sz w:val="32"/>
          <w:szCs w:val="32"/>
        </w:rPr>
      </w:pPr>
      <w:r>
        <w:rPr>
          <w:rFonts w:hint="eastAsia" w:ascii="仿宋_GB2312" w:eastAsia="仿宋_GB2312" w:cs="仿宋_GB2312"/>
          <w:b/>
          <w:color w:val="000000"/>
          <w:kern w:val="0"/>
          <w:sz w:val="32"/>
          <w:szCs w:val="32"/>
        </w:rPr>
        <w:t>1.围绕人才培养，加强学风建设。</w:t>
      </w:r>
    </w:p>
    <w:p>
      <w:pPr>
        <w:spacing w:line="480" w:lineRule="auto"/>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深入开展学风督察工作，持续强化学生出勤、旷课等课堂常规的检查，加强考风考纪宣传教育，严肃处理违纪行为，依据“学生个人学风表现”数据库加强学风表现在评奖评优中的体现，围绕校训、院铭，结合“君子之风”建设切实改善学院学风面貌。</w:t>
      </w:r>
    </w:p>
    <w:p>
      <w:pPr>
        <w:spacing w:line="480" w:lineRule="auto"/>
        <w:ind w:firstLine="643" w:firstLineChars="200"/>
        <w:rPr>
          <w:rFonts w:hint="eastAsia" w:ascii="仿宋_GB2312" w:eastAsia="仿宋_GB2312" w:cs="仿宋_GB2312"/>
          <w:b/>
          <w:color w:val="000000"/>
          <w:kern w:val="0"/>
          <w:sz w:val="32"/>
          <w:szCs w:val="32"/>
        </w:rPr>
      </w:pPr>
      <w:r>
        <w:rPr>
          <w:rFonts w:hint="eastAsia" w:ascii="仿宋_GB2312" w:eastAsia="仿宋_GB2312" w:cs="仿宋_GB2312"/>
          <w:b/>
          <w:color w:val="000000"/>
          <w:kern w:val="0"/>
          <w:sz w:val="32"/>
          <w:szCs w:val="32"/>
        </w:rPr>
        <w:t>2.拓展第二课堂，助力学生成长。</w:t>
      </w:r>
    </w:p>
    <w:p>
      <w:pPr>
        <w:spacing w:line="480" w:lineRule="auto"/>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做好并拓展“艺术节”、“艺术导读”、“非遗保护”等特色平台，依托艺术团队和学生社团，结合专业加强与本市企事业单位的合作，开展志愿者服务、暑期社会实践、展演与竞赛等多种形式的学生校内外实践，实现第一、第二、第三课堂的协同促进。</w:t>
      </w:r>
    </w:p>
    <w:p>
      <w:pPr>
        <w:spacing w:line="480" w:lineRule="auto"/>
        <w:ind w:firstLine="643" w:firstLineChars="200"/>
        <w:rPr>
          <w:rFonts w:hint="eastAsia" w:ascii="仿宋_GB2312" w:eastAsia="仿宋_GB2312" w:cs="仿宋_GB2312"/>
          <w:b/>
          <w:color w:val="000000"/>
          <w:kern w:val="0"/>
          <w:sz w:val="32"/>
          <w:szCs w:val="32"/>
        </w:rPr>
      </w:pPr>
      <w:r>
        <w:rPr>
          <w:rFonts w:hint="eastAsia" w:ascii="仿宋_GB2312" w:eastAsia="仿宋_GB2312" w:cs="仿宋_GB2312"/>
          <w:b/>
          <w:color w:val="000000"/>
          <w:kern w:val="0"/>
          <w:sz w:val="32"/>
          <w:szCs w:val="32"/>
        </w:rPr>
        <w:t>3.加强学生党建，发挥引领作用。</w:t>
      </w:r>
    </w:p>
    <w:p>
      <w:pPr>
        <w:spacing w:line="480" w:lineRule="auto"/>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结合学院工作实际，充分思考并制定学生党建、大学生思想政治与学生学业教育协同、与学生日常管理协同、与学风建设协同等工作机制；展现学生党支部的组织优势和队伍优势；重点做好党员教育管理和入党积极分子的培训考察，继续推进学生党建服务品牌的实践与创新。</w:t>
      </w:r>
    </w:p>
    <w:p>
      <w:pPr>
        <w:spacing w:line="480" w:lineRule="auto"/>
        <w:ind w:firstLine="643" w:firstLineChars="200"/>
        <w:rPr>
          <w:rFonts w:hint="eastAsia" w:ascii="仿宋_GB2312" w:eastAsia="仿宋_GB2312" w:cs="仿宋_GB2312"/>
          <w:b/>
          <w:color w:val="000000"/>
          <w:kern w:val="0"/>
          <w:sz w:val="32"/>
          <w:szCs w:val="32"/>
        </w:rPr>
      </w:pPr>
      <w:r>
        <w:rPr>
          <w:rFonts w:hint="eastAsia" w:ascii="仿宋_GB2312" w:eastAsia="仿宋_GB2312" w:cs="仿宋_GB2312"/>
          <w:b/>
          <w:color w:val="000000"/>
          <w:kern w:val="0"/>
          <w:sz w:val="32"/>
          <w:szCs w:val="32"/>
        </w:rPr>
        <w:t>4.优化服务平台，提升就业能力。</w:t>
      </w:r>
    </w:p>
    <w:p>
      <w:pPr>
        <w:spacing w:line="480" w:lineRule="auto"/>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依托就业基地、实习基地推动学生实习，依托以“众创空间”领衔的学生创新创业平台推动学生创业，依托毕业展览实现毕业生与行业单位的直接对接，依托网络技术畅通就业信息渠道，多举措搭建学生就业促进平台，切实提升就业质量。加强大学生职业生涯规划课程建设，借助专业长才路线图做到“早知晓、早规划、早行动”，鼓励参加教师资格证和其他专业资格的考证，切实提升学生就业能力。组织专项培训提升教师资格“国考”合格率，助推学生参加各地教育局招考。调动学院兼职硕导等资源，鼓励教师指导学生考研，提升毕业生考研率和考取率。加强校友联络工作，建设完善优秀校友资源库和联络机制。加强就业状况反馈工作，掌握持续性就业信息。</w:t>
      </w:r>
    </w:p>
    <w:p>
      <w:pPr>
        <w:widowControl/>
        <w:spacing w:line="480" w:lineRule="auto"/>
        <w:ind w:firstLine="643" w:firstLineChars="200"/>
        <w:rPr>
          <w:rFonts w:hint="eastAsia" w:ascii="仿宋_GB2312" w:eastAsia="仿宋_GB2312" w:cs="仿宋_GB2312"/>
          <w:b/>
          <w:color w:val="000000"/>
          <w:kern w:val="0"/>
          <w:sz w:val="32"/>
          <w:szCs w:val="32"/>
        </w:rPr>
      </w:pPr>
      <w:r>
        <w:rPr>
          <w:rFonts w:hint="eastAsia" w:ascii="仿宋_GB2312" w:eastAsia="仿宋_GB2312" w:cs="仿宋_GB2312"/>
          <w:b/>
          <w:color w:val="000000"/>
          <w:kern w:val="0"/>
          <w:sz w:val="32"/>
          <w:szCs w:val="32"/>
        </w:rPr>
        <w:t>5.完善工作机制，提高服务水平。</w:t>
      </w:r>
    </w:p>
    <w:p>
      <w:pPr>
        <w:widowControl/>
        <w:spacing w:line="480" w:lineRule="auto"/>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加强班集体建设与管理，做好学生舆情收集、研判和处置工作。健全心理健康工作四级网络体系，依托“活动、课程、媒介、环境”四大教育平台，做好特殊群体的服务和危机干预。优化“艺家亲”公众微信运行管理，做好互联网平台的思想政治引导。</w:t>
      </w:r>
    </w:p>
    <w:p>
      <w:pPr>
        <w:widowControl/>
        <w:spacing w:line="480" w:lineRule="auto"/>
        <w:ind w:firstLine="643" w:firstLineChars="200"/>
        <w:rPr>
          <w:rFonts w:ascii="仿宋_GB2312" w:eastAsia="仿宋_GB2312" w:cs="仿宋_GB2312"/>
          <w:b/>
          <w:color w:val="000000"/>
          <w:kern w:val="0"/>
          <w:sz w:val="32"/>
          <w:szCs w:val="32"/>
        </w:rPr>
      </w:pPr>
      <w:r>
        <w:rPr>
          <w:rFonts w:hint="eastAsia" w:ascii="仿宋_GB2312" w:eastAsia="仿宋_GB2312" w:cs="仿宋_GB2312"/>
          <w:b/>
          <w:color w:val="000000"/>
          <w:kern w:val="0"/>
          <w:sz w:val="32"/>
          <w:szCs w:val="32"/>
        </w:rPr>
        <w:t>（七）文化建设新举措，社会影响效应强。</w:t>
      </w:r>
    </w:p>
    <w:p>
      <w:pPr>
        <w:pStyle w:val="10"/>
        <w:ind w:firstLine="707" w:firstLineChars="221"/>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充分发挥艺术专业特色，努力打造师院乃至湖州的文化高地。除积极参加学校的胡瑗文化节等文化活动外，重点推进学院原创文化建设、场馆文化建设，争取在太湖书画研究院、太湖设计研究院、刺绣学院等与湖州地域文化相契合的文创中取得成绩。加强与地方文化部门合作力度，充分发挥书协、美协等平台的作用，积极参加湖州文化建设，争取在“五个一工程”“优秀文艺作品”等方面取得突破性成绩。制定学院信息发布制度，加强新闻宣传，提升学院影响力，丰富学院网站内容，加强功能，展示形象。围绕中心工作做好新闻宣传，凸显人才培养、创作研究、学术活动等工作的亮点，关注学院重大活动和主要成绩，重点做好在校网、校报的宣传和外宣工作，提升学院影响力。</w:t>
      </w:r>
    </w:p>
    <w:p>
      <w:pPr>
        <w:widowControl/>
        <w:spacing w:line="480" w:lineRule="auto"/>
        <w:ind w:firstLine="643" w:firstLineChars="200"/>
        <w:rPr>
          <w:rFonts w:ascii="楷体" w:hAnsi="楷体" w:eastAsia="楷体" w:cs="楷体"/>
          <w:b/>
          <w:color w:val="000000"/>
          <w:kern w:val="0"/>
          <w:sz w:val="32"/>
          <w:szCs w:val="32"/>
        </w:rPr>
      </w:pPr>
      <w:r>
        <w:rPr>
          <w:rFonts w:hint="eastAsia" w:ascii="楷体" w:hAnsi="楷体" w:eastAsia="楷体" w:cs="楷体"/>
          <w:b/>
          <w:color w:val="000000"/>
          <w:kern w:val="0"/>
          <w:sz w:val="32"/>
          <w:szCs w:val="32"/>
        </w:rPr>
        <w:t>（八）管理服务精细化，量化考核明贡献</w:t>
      </w:r>
    </w:p>
    <w:p>
      <w:pPr>
        <w:spacing w:line="480" w:lineRule="auto"/>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强化服务意识，依据学校岗位聘任及考核精神，实行全员分线业绩量化考核。行政人员依据常态工作台账、工作权重与服务质量进行分项量化积分考核。完善教学业绩考核制度，教师按照教学业绩、科学研究、育人情况、工作协同情况积分考核，实验人员按照实验管理工作台账、工作权重、科研情况、辅导学生实践情况、工作协同情况考核。学科带头人和院设中层参照双肩挑人员同时对团队管理、团队业绩进行考核。考核结果实时公布，接受全员监督并与工作绩效、绩效分配与工作奖励挂钩。</w:t>
      </w:r>
    </w:p>
    <w:p>
      <w:pPr>
        <w:spacing w:line="480" w:lineRule="auto"/>
        <w:ind w:firstLine="640" w:firstLineChars="200"/>
        <w:rPr>
          <w:rFonts w:ascii="仿宋_GB2312" w:eastAsia="仿宋_GB2312" w:cs="仿宋_GB2312"/>
          <w:color w:val="000000"/>
          <w:kern w:val="0"/>
          <w:sz w:val="32"/>
          <w:szCs w:val="32"/>
        </w:rPr>
      </w:pPr>
    </w:p>
    <w:p>
      <w:pPr>
        <w:widowControl/>
        <w:spacing w:line="480" w:lineRule="auto"/>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十四五”时期是学校加快综合性大学建设步伐的关键时期，也是学院提升核心竞争力的关键时期。通过这五年的努力，我们将在办学层次上实现突破，初步建成浙北地区特色鲜明的艺术人才培养基地、艺术展演创作研究中心和地方文化服务高地。让我们在学校“湖州师范大学梦”的引领下，秉承“明体达用”校训和“读书学艺，弘德尚美”院铭，以“学院办大学”的姿态，团结奋进，脚踏实地，改革创新，确保各项发展目标的全面完成，为学院发展迈向新台阶而努力奋斗！</w:t>
      </w:r>
    </w:p>
    <w:p>
      <w:pPr>
        <w:widowControl/>
        <w:spacing w:line="480" w:lineRule="auto"/>
        <w:ind w:firstLine="640" w:firstLineChars="200"/>
        <w:rPr>
          <w:rFonts w:ascii="仿宋_GB2312" w:eastAsia="仿宋_GB2312" w:cs="仿宋_GB2312"/>
          <w:color w:val="000000"/>
          <w:kern w:val="0"/>
          <w:sz w:val="32"/>
          <w:szCs w:val="32"/>
        </w:rPr>
      </w:pPr>
    </w:p>
    <w:p>
      <w:pPr>
        <w:widowControl/>
        <w:spacing w:line="480" w:lineRule="auto"/>
        <w:ind w:firstLine="640" w:firstLineChars="200"/>
        <w:rPr>
          <w:rFonts w:hint="eastAsia" w:ascii="仿宋_GB2312" w:eastAsia="仿宋_GB2312" w:cs="仿宋_GB2312"/>
          <w:color w:val="000000"/>
          <w:kern w:val="0"/>
          <w:sz w:val="32"/>
          <w:szCs w:val="32"/>
        </w:rPr>
      </w:pPr>
    </w:p>
    <w:p>
      <w:pPr>
        <w:widowControl/>
        <w:spacing w:line="480" w:lineRule="auto"/>
        <w:ind w:firstLine="640" w:firstLineChars="200"/>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 xml:space="preserve">                                                     </w:t>
      </w:r>
    </w:p>
    <w:p>
      <w:pPr>
        <w:widowControl/>
        <w:spacing w:line="480" w:lineRule="auto"/>
        <w:ind w:firstLine="640" w:firstLineChars="200"/>
        <w:rPr>
          <w:rFonts w:hint="eastAsia" w:ascii="仿宋_GB2312" w:eastAsia="仿宋_GB2312" w:cs="仿宋_GB2312"/>
          <w:color w:val="000000"/>
          <w:kern w:val="0"/>
          <w:sz w:val="32"/>
          <w:szCs w:val="32"/>
        </w:rPr>
      </w:pPr>
    </w:p>
    <w:p>
      <w:pPr>
        <w:widowControl/>
        <w:spacing w:line="480" w:lineRule="auto"/>
        <w:ind w:firstLine="640" w:firstLineChars="200"/>
        <w:rPr>
          <w:rFonts w:hint="eastAsia" w:ascii="仿宋_GB2312" w:eastAsia="仿宋_GB2312" w:cs="仿宋_GB2312"/>
          <w:color w:val="000000"/>
          <w:kern w:val="0"/>
          <w:sz w:val="32"/>
          <w:szCs w:val="32"/>
        </w:rPr>
      </w:pPr>
    </w:p>
    <w:p>
      <w:pPr>
        <w:widowControl/>
        <w:spacing w:line="480" w:lineRule="auto"/>
        <w:ind w:firstLine="640" w:firstLineChars="200"/>
        <w:rPr>
          <w:rFonts w:hint="eastAsia" w:ascii="仿宋_GB2312" w:eastAsia="仿宋_GB2312" w:cs="仿宋_GB2312"/>
          <w:color w:val="000000"/>
          <w:kern w:val="0"/>
          <w:sz w:val="32"/>
          <w:szCs w:val="32"/>
        </w:rPr>
      </w:pPr>
    </w:p>
    <w:p>
      <w:pPr>
        <w:widowControl/>
        <w:spacing w:line="480" w:lineRule="auto"/>
        <w:ind w:firstLine="640" w:firstLineChars="200"/>
        <w:rPr>
          <w:rFonts w:hint="eastAsia" w:ascii="仿宋_GB2312" w:eastAsia="仿宋_GB2312" w:cs="仿宋_GB2312"/>
          <w:color w:val="000000"/>
          <w:kern w:val="0"/>
          <w:sz w:val="32"/>
          <w:szCs w:val="32"/>
        </w:rPr>
      </w:pPr>
    </w:p>
    <w:p>
      <w:pPr>
        <w:spacing w:line="100" w:lineRule="exact"/>
        <w:ind w:left="-109" w:leftChars="-52"/>
        <w:rPr>
          <w:rFonts w:hint="eastAsia" w:ascii="黑体" w:eastAsia="黑体"/>
          <w:b/>
          <w:sz w:val="32"/>
          <w:u w:val="single"/>
        </w:rPr>
      </w:pPr>
      <w:r>
        <w:rPr>
          <w:rFonts w:hint="eastAsia" w:ascii="仿宋_GB2312" w:eastAsia="仿宋_GB2312"/>
          <w:sz w:val="32"/>
        </w:rPr>
        <w:t xml:space="preserve">        </w:t>
      </w:r>
    </w:p>
    <w:p>
      <w:pPr>
        <w:spacing w:line="560" w:lineRule="exact"/>
        <w:jc w:val="both"/>
        <w:rPr>
          <w:rFonts w:hint="eastAsia" w:ascii="方正小标宋简体" w:hAnsi="仿宋" w:eastAsia="方正小标宋简体"/>
          <w:b/>
          <w:color w:val="auto"/>
          <w:sz w:val="44"/>
          <w:lang w:val="en-US" w:eastAsia="zh-CN"/>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r>
        <w:rPr>
          <w:rFonts w:hint="eastAsia" w:ascii="黑体" w:eastAsia="黑体"/>
          <w:b/>
          <w:color w:val="auto"/>
          <w:sz w:val="32"/>
          <w:u w:val="single"/>
        </w:rPr>
        <w:t xml:space="preserve">                                                        </w:t>
      </w:r>
    </w:p>
    <w:p>
      <w:pPr>
        <w:spacing w:line="100" w:lineRule="exact"/>
        <w:ind w:left="-109" w:leftChars="-52"/>
        <w:rPr>
          <w:rFonts w:hint="eastAsia" w:ascii="黑体" w:eastAsia="黑体"/>
          <w:b/>
          <w:color w:val="auto"/>
          <w:sz w:val="32"/>
          <w:u w:val="single"/>
        </w:rPr>
      </w:pPr>
      <w:r>
        <w:rPr>
          <w:rFonts w:hint="eastAsia" w:ascii="仿宋_GB2312" w:eastAsia="仿宋_GB2312"/>
          <w:color w:val="auto"/>
          <w:sz w:val="32"/>
        </w:rPr>
        <w:t xml:space="preserve">        </w:t>
      </w:r>
    </w:p>
    <w:p>
      <w:pPr>
        <w:spacing w:line="400" w:lineRule="exact"/>
        <w:ind w:left="-109" w:leftChars="-52" w:firstLine="280" w:firstLineChars="100"/>
        <w:rPr>
          <w:rFonts w:hint="default" w:ascii="仿宋_GB2312" w:eastAsia="仿宋_GB2312"/>
          <w:color w:val="auto"/>
          <w:sz w:val="28"/>
          <w:lang w:val="en-US"/>
        </w:rPr>
      </w:pPr>
      <w:r>
        <w:rPr>
          <w:rFonts w:hint="eastAsia" w:ascii="仿宋_GB2312" w:eastAsia="仿宋_GB2312"/>
          <w:color w:val="auto"/>
          <w:sz w:val="28"/>
        </w:rPr>
        <w:t>抄送：</w:t>
      </w:r>
      <w:r>
        <w:rPr>
          <w:rFonts w:hint="eastAsia" w:ascii="仿宋_GB2312" w:eastAsia="仿宋_GB2312"/>
          <w:color w:val="auto"/>
          <w:sz w:val="28"/>
          <w:lang w:val="en-US" w:eastAsia="zh-CN"/>
        </w:rPr>
        <w:t>发展规划处。</w:t>
      </w:r>
    </w:p>
    <w:p>
      <w:pPr>
        <w:spacing w:line="100" w:lineRule="exact"/>
        <w:ind w:left="-109" w:leftChars="-52"/>
        <w:rPr>
          <w:rFonts w:hint="eastAsia" w:ascii="黑体" w:eastAsia="黑体"/>
          <w:b/>
          <w:color w:val="auto"/>
          <w:sz w:val="32"/>
          <w:u w:val="single"/>
        </w:rPr>
      </w:pPr>
      <w:r>
        <w:rPr>
          <w:rFonts w:hint="eastAsia" w:ascii="黑体" w:eastAsia="黑体"/>
          <w:b/>
          <w:color w:val="auto"/>
          <w:sz w:val="32"/>
          <w:u w:val="single"/>
        </w:rPr>
        <w:t xml:space="preserve">                                                        </w:t>
      </w:r>
    </w:p>
    <w:p>
      <w:pPr>
        <w:spacing w:line="100" w:lineRule="exact"/>
        <w:ind w:left="-109" w:leftChars="-52"/>
        <w:rPr>
          <w:rFonts w:hint="eastAsia" w:ascii="黑体" w:eastAsia="黑体"/>
          <w:b/>
          <w:color w:val="auto"/>
          <w:sz w:val="32"/>
          <w:u w:val="single"/>
        </w:rPr>
      </w:pPr>
    </w:p>
    <w:p>
      <w:pPr>
        <w:spacing w:line="100" w:lineRule="exact"/>
        <w:ind w:left="-109" w:leftChars="-52"/>
        <w:rPr>
          <w:rFonts w:hint="eastAsia" w:ascii="黑体" w:eastAsia="黑体"/>
          <w:b/>
          <w:color w:val="auto"/>
          <w:sz w:val="32"/>
          <w:u w:val="single"/>
        </w:rPr>
      </w:pPr>
      <w:r>
        <w:rPr>
          <w:rFonts w:hint="eastAsia" w:ascii="仿宋_GB2312" w:eastAsia="仿宋_GB2312"/>
          <w:color w:val="auto"/>
          <w:sz w:val="32"/>
        </w:rPr>
        <w:t xml:space="preserve">        </w:t>
      </w:r>
    </w:p>
    <w:p>
      <w:pPr>
        <w:spacing w:line="400" w:lineRule="exact"/>
        <w:ind w:left="-109" w:leftChars="-52" w:firstLine="280" w:firstLineChars="100"/>
        <w:rPr>
          <w:rFonts w:hint="eastAsia" w:ascii="仿宋_GB2312" w:eastAsia="仿宋_GB2312"/>
          <w:color w:val="auto"/>
          <w:sz w:val="28"/>
        </w:rPr>
      </w:pPr>
      <w:r>
        <w:rPr>
          <w:rFonts w:hint="eastAsia" w:ascii="仿宋_GB2312" w:eastAsia="仿宋_GB2312"/>
          <w:color w:val="auto"/>
          <w:sz w:val="28"/>
        </w:rPr>
        <w:t xml:space="preserve">湖州师范学院艺术学院 </w:t>
      </w:r>
      <w:r>
        <w:rPr>
          <w:rFonts w:hint="eastAsia" w:ascii="仿宋_GB2312" w:eastAsia="仿宋_GB2312"/>
          <w:color w:val="auto"/>
          <w:sz w:val="28"/>
          <w:lang w:val="en-US" w:eastAsia="zh-CN"/>
        </w:rPr>
        <w:t xml:space="preserve">   </w:t>
      </w:r>
      <w:r>
        <w:rPr>
          <w:rFonts w:hint="eastAsia" w:ascii="仿宋_GB2312" w:eastAsia="仿宋_GB2312"/>
          <w:color w:val="auto"/>
          <w:sz w:val="28"/>
        </w:rPr>
        <w:t xml:space="preserve">             </w:t>
      </w:r>
      <w:r>
        <w:rPr>
          <w:rFonts w:hint="eastAsia" w:ascii="仿宋_GB2312" w:eastAsia="仿宋_GB2312"/>
          <w:color w:val="auto"/>
          <w:sz w:val="28"/>
          <w:lang w:val="en-US" w:eastAsia="zh-CN"/>
        </w:rPr>
        <w:t xml:space="preserve"> </w:t>
      </w:r>
      <w:r>
        <w:rPr>
          <w:rFonts w:hint="eastAsia" w:ascii="仿宋_GB2312" w:eastAsia="仿宋_GB2312"/>
          <w:color w:val="auto"/>
          <w:sz w:val="28"/>
        </w:rPr>
        <w:t>202</w:t>
      </w:r>
      <w:r>
        <w:rPr>
          <w:rFonts w:hint="eastAsia" w:ascii="仿宋_GB2312" w:eastAsia="仿宋_GB2312"/>
          <w:color w:val="auto"/>
          <w:sz w:val="28"/>
          <w:lang w:val="en-US" w:eastAsia="zh-CN"/>
        </w:rPr>
        <w:t>2</w:t>
      </w:r>
      <w:r>
        <w:rPr>
          <w:rFonts w:hint="eastAsia" w:ascii="仿宋_GB2312" w:eastAsia="仿宋_GB2312"/>
          <w:color w:val="auto"/>
          <w:sz w:val="28"/>
        </w:rPr>
        <w:t>年</w:t>
      </w:r>
      <w:r>
        <w:rPr>
          <w:rFonts w:hint="eastAsia" w:ascii="仿宋_GB2312" w:eastAsia="仿宋_GB2312"/>
          <w:color w:val="auto"/>
          <w:sz w:val="28"/>
          <w:lang w:val="en-US" w:eastAsia="zh-CN"/>
        </w:rPr>
        <w:t>1</w:t>
      </w:r>
      <w:r>
        <w:rPr>
          <w:rFonts w:hint="eastAsia" w:ascii="仿宋_GB2312" w:eastAsia="仿宋_GB2312"/>
          <w:color w:val="auto"/>
          <w:sz w:val="28"/>
        </w:rPr>
        <w:t>月</w:t>
      </w:r>
      <w:r>
        <w:rPr>
          <w:rFonts w:hint="eastAsia" w:ascii="仿宋_GB2312" w:eastAsia="仿宋_GB2312"/>
          <w:color w:val="auto"/>
          <w:sz w:val="28"/>
          <w:lang w:val="en-US" w:eastAsia="zh-CN"/>
        </w:rPr>
        <w:t>11</w:t>
      </w:r>
      <w:r>
        <w:rPr>
          <w:rFonts w:hint="eastAsia" w:ascii="仿宋_GB2312" w:eastAsia="仿宋_GB2312"/>
          <w:color w:val="auto"/>
          <w:sz w:val="28"/>
        </w:rPr>
        <w:t>日印发</w:t>
      </w:r>
    </w:p>
    <w:p>
      <w:pPr>
        <w:spacing w:line="100" w:lineRule="exact"/>
        <w:ind w:left="-109" w:leftChars="-52"/>
        <w:rPr>
          <w:rFonts w:hint="eastAsia" w:ascii="仿宋_GB2312" w:eastAsia="仿宋_GB2312" w:cs="仿宋_GB2312"/>
          <w:color w:val="000000"/>
          <w:kern w:val="0"/>
          <w:sz w:val="32"/>
          <w:szCs w:val="32"/>
        </w:rPr>
      </w:pPr>
      <w:r>
        <w:rPr>
          <w:rFonts w:hint="eastAsia" w:ascii="黑体" w:eastAsia="黑体"/>
          <w:b/>
          <w:color w:val="auto"/>
          <w:sz w:val="32"/>
          <w:u w:val="single"/>
        </w:rPr>
        <w:t xml:space="preserve">                                                        </w:t>
      </w:r>
    </w:p>
    <w:sectPr>
      <w:headerReference r:id="rId3" w:type="first"/>
      <w:footerReference r:id="rId5" w:type="first"/>
      <w:footerReference r:id="rId4" w:type="default"/>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2AA218-6748-46D3-B1A6-DB8E128DD4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7D76B78-650C-4FBD-B8F2-739455B32E6D}"/>
  </w:font>
  <w:font w:name="仿宋_GB2312">
    <w:panose1 w:val="02010609030101010101"/>
    <w:charset w:val="86"/>
    <w:family w:val="modern"/>
    <w:pitch w:val="default"/>
    <w:sig w:usb0="00000001" w:usb1="080E0000" w:usb2="00000000" w:usb3="00000000" w:csb0="00040000" w:csb1="00000000"/>
    <w:embedRegular r:id="rId3" w:fontKey="{2F819991-7CC2-43A4-8E29-300A74232C36}"/>
  </w:font>
  <w:font w:name="方正小标宋简体">
    <w:panose1 w:val="02000000000000000000"/>
    <w:charset w:val="86"/>
    <w:family w:val="auto"/>
    <w:pitch w:val="default"/>
    <w:sig w:usb0="00000001" w:usb1="08000000" w:usb2="00000000" w:usb3="00000000" w:csb0="00040000" w:csb1="00000000"/>
    <w:embedRegular r:id="rId4" w:fontKey="{364E8B95-B21D-4919-ABE2-C024C294EFB6}"/>
  </w:font>
  <w:font w:name="仿宋">
    <w:panose1 w:val="02010609060101010101"/>
    <w:charset w:val="86"/>
    <w:family w:val="auto"/>
    <w:pitch w:val="default"/>
    <w:sig w:usb0="800002BF" w:usb1="38CF7CFA" w:usb2="00000016" w:usb3="00000000" w:csb0="00040001" w:csb1="00000000"/>
    <w:embedRegular r:id="rId5" w:fontKey="{D3290842-11DF-4980-A431-3DB58EBA6407}"/>
  </w:font>
  <w:font w:name="楷体_GB2312">
    <w:altName w:val="楷体"/>
    <w:panose1 w:val="02010609030101010101"/>
    <w:charset w:val="86"/>
    <w:family w:val="swiss"/>
    <w:pitch w:val="default"/>
    <w:sig w:usb0="00000000" w:usb1="00000000" w:usb2="00000000" w:usb3="00000000" w:csb0="00040000" w:csb1="00000000"/>
    <w:embedRegular r:id="rId6" w:fontKey="{8A19C36A-4280-4478-A221-1E82A4E3D4EE}"/>
  </w:font>
  <w:font w:name="楷体">
    <w:panose1 w:val="02010609060101010101"/>
    <w:charset w:val="86"/>
    <w:family w:val="auto"/>
    <w:pitch w:val="default"/>
    <w:sig w:usb0="800002BF" w:usb1="38CF7CFA" w:usb2="00000016" w:usb3="00000000" w:csb0="00040001" w:csb1="00000000"/>
    <w:embedRegular r:id="rId7" w:fontKey="{1562A220-29D4-4C26-BFE0-E640756A92FA}"/>
  </w:font>
  <w:font w:name="MS Mincho">
    <w:panose1 w:val="02020609040205080304"/>
    <w:charset w:val="80"/>
    <w:family w:val="modern"/>
    <w:pitch w:val="default"/>
    <w:sig w:usb0="A00002BF" w:usb1="68C7FCFB" w:usb2="00000010" w:usb3="00000000" w:csb0="4002009F" w:csb1="DFD70000"/>
    <w:embedRegular r:id="rId8" w:fontKey="{3AF9C0A1-7F66-4676-A4E5-8337B6A2DA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- 2 -</w:t>
                    </w:r>
                    <w: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E11DD4"/>
    <w:multiLevelType w:val="multilevel"/>
    <w:tmpl w:val="02E11DD4"/>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
    <w:nsid w:val="332255AE"/>
    <w:multiLevelType w:val="multilevel"/>
    <w:tmpl w:val="332255AE"/>
    <w:lvl w:ilvl="0" w:tentative="0">
      <w:start w:val="1"/>
      <w:numFmt w:val="japaneseCounting"/>
      <w:lvlText w:val="（%1）"/>
      <w:lvlJc w:val="left"/>
      <w:pPr>
        <w:ind w:left="1080" w:hanging="10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63C2A0E"/>
    <w:multiLevelType w:val="multilevel"/>
    <w:tmpl w:val="463C2A0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7217B4F"/>
    <w:multiLevelType w:val="multilevel"/>
    <w:tmpl w:val="47217B4F"/>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1962084"/>
    <w:multiLevelType w:val="multilevel"/>
    <w:tmpl w:val="51962084"/>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74890F3C"/>
    <w:multiLevelType w:val="multilevel"/>
    <w:tmpl w:val="74890F3C"/>
    <w:lvl w:ilvl="0" w:tentative="0">
      <w:start w:val="1"/>
      <w:numFmt w:val="japaneseCounting"/>
      <w:lvlText w:val="（%1）"/>
      <w:lvlJc w:val="left"/>
      <w:pPr>
        <w:ind w:left="1080" w:hanging="108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8A40876"/>
    <w:multiLevelType w:val="multilevel"/>
    <w:tmpl w:val="78A40876"/>
    <w:lvl w:ilvl="0" w:tentative="0">
      <w:start w:val="4"/>
      <w:numFmt w:val="japaneseCounting"/>
      <w:lvlText w:val="（%1）"/>
      <w:lvlJc w:val="left"/>
      <w:pPr>
        <w:ind w:left="1719" w:hanging="1080"/>
      </w:pPr>
      <w:rPr>
        <w:rFonts w:hint="default"/>
      </w:rPr>
    </w:lvl>
    <w:lvl w:ilvl="1" w:tentative="0">
      <w:start w:val="1"/>
      <w:numFmt w:val="lowerLetter"/>
      <w:lvlText w:val="%2)"/>
      <w:lvlJc w:val="left"/>
      <w:pPr>
        <w:ind w:left="1479" w:hanging="420"/>
      </w:pPr>
    </w:lvl>
    <w:lvl w:ilvl="2" w:tentative="0">
      <w:start w:val="1"/>
      <w:numFmt w:val="lowerRoman"/>
      <w:lvlText w:val="%3."/>
      <w:lvlJc w:val="right"/>
      <w:pPr>
        <w:ind w:left="1899" w:hanging="420"/>
      </w:pPr>
    </w:lvl>
    <w:lvl w:ilvl="3" w:tentative="0">
      <w:start w:val="1"/>
      <w:numFmt w:val="decimal"/>
      <w:lvlText w:val="%4."/>
      <w:lvlJc w:val="left"/>
      <w:pPr>
        <w:ind w:left="2319" w:hanging="420"/>
      </w:pPr>
    </w:lvl>
    <w:lvl w:ilvl="4" w:tentative="0">
      <w:start w:val="1"/>
      <w:numFmt w:val="lowerLetter"/>
      <w:lvlText w:val="%5)"/>
      <w:lvlJc w:val="left"/>
      <w:pPr>
        <w:ind w:left="2739" w:hanging="420"/>
      </w:pPr>
    </w:lvl>
    <w:lvl w:ilvl="5" w:tentative="0">
      <w:start w:val="1"/>
      <w:numFmt w:val="lowerRoman"/>
      <w:lvlText w:val="%6."/>
      <w:lvlJc w:val="right"/>
      <w:pPr>
        <w:ind w:left="3159" w:hanging="420"/>
      </w:pPr>
    </w:lvl>
    <w:lvl w:ilvl="6" w:tentative="0">
      <w:start w:val="1"/>
      <w:numFmt w:val="decimal"/>
      <w:lvlText w:val="%7."/>
      <w:lvlJc w:val="left"/>
      <w:pPr>
        <w:ind w:left="3579" w:hanging="420"/>
      </w:pPr>
    </w:lvl>
    <w:lvl w:ilvl="7" w:tentative="0">
      <w:start w:val="1"/>
      <w:numFmt w:val="lowerLetter"/>
      <w:lvlText w:val="%8)"/>
      <w:lvlJc w:val="left"/>
      <w:pPr>
        <w:ind w:left="3999" w:hanging="420"/>
      </w:pPr>
    </w:lvl>
    <w:lvl w:ilvl="8" w:tentative="0">
      <w:start w:val="1"/>
      <w:numFmt w:val="lowerRoman"/>
      <w:lvlText w:val="%9."/>
      <w:lvlJc w:val="right"/>
      <w:pPr>
        <w:ind w:left="4419" w:hanging="420"/>
      </w:pPr>
    </w:lvl>
  </w:abstractNum>
  <w:num w:numId="1">
    <w:abstractNumId w:val="2"/>
  </w:num>
  <w:num w:numId="2">
    <w:abstractNumId w:val="5"/>
  </w:num>
  <w:num w:numId="3">
    <w:abstractNumId w:val="3"/>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9B5"/>
    <w:rsid w:val="0000587D"/>
    <w:rsid w:val="000123CF"/>
    <w:rsid w:val="0003557C"/>
    <w:rsid w:val="0008509A"/>
    <w:rsid w:val="000957E5"/>
    <w:rsid w:val="000E5033"/>
    <w:rsid w:val="00102C6D"/>
    <w:rsid w:val="001152C2"/>
    <w:rsid w:val="00130048"/>
    <w:rsid w:val="00136798"/>
    <w:rsid w:val="001419B5"/>
    <w:rsid w:val="001A2340"/>
    <w:rsid w:val="001B01CF"/>
    <w:rsid w:val="001E5220"/>
    <w:rsid w:val="002023A1"/>
    <w:rsid w:val="00203A55"/>
    <w:rsid w:val="00210F61"/>
    <w:rsid w:val="0021606A"/>
    <w:rsid w:val="00257EA4"/>
    <w:rsid w:val="00282951"/>
    <w:rsid w:val="0028570F"/>
    <w:rsid w:val="002950DD"/>
    <w:rsid w:val="002E2ABE"/>
    <w:rsid w:val="002E3FDF"/>
    <w:rsid w:val="002F097F"/>
    <w:rsid w:val="003037D5"/>
    <w:rsid w:val="003103EE"/>
    <w:rsid w:val="00315581"/>
    <w:rsid w:val="00326175"/>
    <w:rsid w:val="00333CF2"/>
    <w:rsid w:val="003634E1"/>
    <w:rsid w:val="003818CF"/>
    <w:rsid w:val="003A7301"/>
    <w:rsid w:val="0041141C"/>
    <w:rsid w:val="00441A07"/>
    <w:rsid w:val="0044383A"/>
    <w:rsid w:val="00464DAA"/>
    <w:rsid w:val="00472FEC"/>
    <w:rsid w:val="004B600E"/>
    <w:rsid w:val="004B6041"/>
    <w:rsid w:val="004F1D97"/>
    <w:rsid w:val="00501528"/>
    <w:rsid w:val="00506F7D"/>
    <w:rsid w:val="00533769"/>
    <w:rsid w:val="005523BD"/>
    <w:rsid w:val="00553B93"/>
    <w:rsid w:val="00557938"/>
    <w:rsid w:val="00590924"/>
    <w:rsid w:val="005F20CC"/>
    <w:rsid w:val="00626365"/>
    <w:rsid w:val="006B0788"/>
    <w:rsid w:val="006B17E3"/>
    <w:rsid w:val="00701FA0"/>
    <w:rsid w:val="00703E0B"/>
    <w:rsid w:val="007129BE"/>
    <w:rsid w:val="00713D96"/>
    <w:rsid w:val="00732650"/>
    <w:rsid w:val="00740844"/>
    <w:rsid w:val="00743050"/>
    <w:rsid w:val="0075746E"/>
    <w:rsid w:val="007669F2"/>
    <w:rsid w:val="00787BB5"/>
    <w:rsid w:val="007C22EC"/>
    <w:rsid w:val="007C5D6D"/>
    <w:rsid w:val="008024EA"/>
    <w:rsid w:val="0080473D"/>
    <w:rsid w:val="008365CB"/>
    <w:rsid w:val="00851EC7"/>
    <w:rsid w:val="00864F39"/>
    <w:rsid w:val="0089143E"/>
    <w:rsid w:val="008A340E"/>
    <w:rsid w:val="008B2277"/>
    <w:rsid w:val="008B2B83"/>
    <w:rsid w:val="00933610"/>
    <w:rsid w:val="009343AE"/>
    <w:rsid w:val="00957FF5"/>
    <w:rsid w:val="00963220"/>
    <w:rsid w:val="00970BC9"/>
    <w:rsid w:val="009818C7"/>
    <w:rsid w:val="00993395"/>
    <w:rsid w:val="009A04CC"/>
    <w:rsid w:val="009C21C4"/>
    <w:rsid w:val="009D07B9"/>
    <w:rsid w:val="00A34F83"/>
    <w:rsid w:val="00A77477"/>
    <w:rsid w:val="00A82A24"/>
    <w:rsid w:val="00A87135"/>
    <w:rsid w:val="00AC452B"/>
    <w:rsid w:val="00B55870"/>
    <w:rsid w:val="00B91DB8"/>
    <w:rsid w:val="00BA085D"/>
    <w:rsid w:val="00BA2E5A"/>
    <w:rsid w:val="00BA5126"/>
    <w:rsid w:val="00BA70C1"/>
    <w:rsid w:val="00BB1A61"/>
    <w:rsid w:val="00BC6A58"/>
    <w:rsid w:val="00C01E4B"/>
    <w:rsid w:val="00C12F35"/>
    <w:rsid w:val="00C3555A"/>
    <w:rsid w:val="00C41431"/>
    <w:rsid w:val="00C613EE"/>
    <w:rsid w:val="00CF344C"/>
    <w:rsid w:val="00D052DD"/>
    <w:rsid w:val="00D12762"/>
    <w:rsid w:val="00D145E9"/>
    <w:rsid w:val="00D1675B"/>
    <w:rsid w:val="00D8264C"/>
    <w:rsid w:val="00E079CA"/>
    <w:rsid w:val="00E356B3"/>
    <w:rsid w:val="00E522B3"/>
    <w:rsid w:val="00E538C6"/>
    <w:rsid w:val="00E62980"/>
    <w:rsid w:val="00EF1291"/>
    <w:rsid w:val="00EF4099"/>
    <w:rsid w:val="00F05A3C"/>
    <w:rsid w:val="00F13550"/>
    <w:rsid w:val="00F20567"/>
    <w:rsid w:val="00F25A3E"/>
    <w:rsid w:val="00F323E5"/>
    <w:rsid w:val="00F72338"/>
    <w:rsid w:val="00F87EA6"/>
    <w:rsid w:val="00F91FF3"/>
    <w:rsid w:val="00F94926"/>
    <w:rsid w:val="00FB3897"/>
    <w:rsid w:val="01652BA9"/>
    <w:rsid w:val="018917C5"/>
    <w:rsid w:val="01976284"/>
    <w:rsid w:val="01A36314"/>
    <w:rsid w:val="01D46B46"/>
    <w:rsid w:val="02146695"/>
    <w:rsid w:val="024F3EFA"/>
    <w:rsid w:val="039A7914"/>
    <w:rsid w:val="03BF4F6C"/>
    <w:rsid w:val="0402542F"/>
    <w:rsid w:val="040B0573"/>
    <w:rsid w:val="041170DF"/>
    <w:rsid w:val="044C5179"/>
    <w:rsid w:val="0460677C"/>
    <w:rsid w:val="047575E8"/>
    <w:rsid w:val="04A36815"/>
    <w:rsid w:val="056F172A"/>
    <w:rsid w:val="058151BC"/>
    <w:rsid w:val="05A530AB"/>
    <w:rsid w:val="05CA44A7"/>
    <w:rsid w:val="05D40621"/>
    <w:rsid w:val="05DA425B"/>
    <w:rsid w:val="05EB208A"/>
    <w:rsid w:val="07105388"/>
    <w:rsid w:val="071855DF"/>
    <w:rsid w:val="073C27F0"/>
    <w:rsid w:val="0760614B"/>
    <w:rsid w:val="08211712"/>
    <w:rsid w:val="08504313"/>
    <w:rsid w:val="088C1EC2"/>
    <w:rsid w:val="08AD7683"/>
    <w:rsid w:val="08AE5C1A"/>
    <w:rsid w:val="08B5230B"/>
    <w:rsid w:val="08D32C8D"/>
    <w:rsid w:val="09082E5E"/>
    <w:rsid w:val="09260BA3"/>
    <w:rsid w:val="09873596"/>
    <w:rsid w:val="09D11A12"/>
    <w:rsid w:val="0A4D05E1"/>
    <w:rsid w:val="0A9B6331"/>
    <w:rsid w:val="0AEF0296"/>
    <w:rsid w:val="0BBB5600"/>
    <w:rsid w:val="0BDA7D1C"/>
    <w:rsid w:val="0C131278"/>
    <w:rsid w:val="0C3536D0"/>
    <w:rsid w:val="0C6D0083"/>
    <w:rsid w:val="0C8D0066"/>
    <w:rsid w:val="0C8D1890"/>
    <w:rsid w:val="0C9979F9"/>
    <w:rsid w:val="0CBE7C8E"/>
    <w:rsid w:val="0D17053A"/>
    <w:rsid w:val="0D305233"/>
    <w:rsid w:val="0D4558F8"/>
    <w:rsid w:val="0D53076D"/>
    <w:rsid w:val="0D67394E"/>
    <w:rsid w:val="0E544A2F"/>
    <w:rsid w:val="0E794B75"/>
    <w:rsid w:val="0E7C78FD"/>
    <w:rsid w:val="0E816A06"/>
    <w:rsid w:val="0EBF7401"/>
    <w:rsid w:val="0EF21B4A"/>
    <w:rsid w:val="0EFB35F9"/>
    <w:rsid w:val="0F0D0E61"/>
    <w:rsid w:val="0F5118FE"/>
    <w:rsid w:val="0F7B5765"/>
    <w:rsid w:val="0F921C2B"/>
    <w:rsid w:val="0FEB0CBF"/>
    <w:rsid w:val="101E173A"/>
    <w:rsid w:val="10341A77"/>
    <w:rsid w:val="10765C3D"/>
    <w:rsid w:val="10A759CE"/>
    <w:rsid w:val="10D90C18"/>
    <w:rsid w:val="11620954"/>
    <w:rsid w:val="1163108A"/>
    <w:rsid w:val="11E301A4"/>
    <w:rsid w:val="120E4CFA"/>
    <w:rsid w:val="12241124"/>
    <w:rsid w:val="122564F1"/>
    <w:rsid w:val="12282A25"/>
    <w:rsid w:val="12374C8D"/>
    <w:rsid w:val="12B5773F"/>
    <w:rsid w:val="13205F3D"/>
    <w:rsid w:val="13646C70"/>
    <w:rsid w:val="136F6C1F"/>
    <w:rsid w:val="13C254A2"/>
    <w:rsid w:val="13C91939"/>
    <w:rsid w:val="1420159B"/>
    <w:rsid w:val="14292E94"/>
    <w:rsid w:val="14AA7FBD"/>
    <w:rsid w:val="14AC1C1A"/>
    <w:rsid w:val="14EB4BF9"/>
    <w:rsid w:val="151D3E8B"/>
    <w:rsid w:val="152B3494"/>
    <w:rsid w:val="156861CC"/>
    <w:rsid w:val="156E789C"/>
    <w:rsid w:val="15737989"/>
    <w:rsid w:val="157B7898"/>
    <w:rsid w:val="1621259C"/>
    <w:rsid w:val="16302F8A"/>
    <w:rsid w:val="1637333A"/>
    <w:rsid w:val="16FB28C2"/>
    <w:rsid w:val="17384B79"/>
    <w:rsid w:val="17410F74"/>
    <w:rsid w:val="176E32D1"/>
    <w:rsid w:val="17920C65"/>
    <w:rsid w:val="179918A7"/>
    <w:rsid w:val="17B60E29"/>
    <w:rsid w:val="17B92B00"/>
    <w:rsid w:val="17E11A7B"/>
    <w:rsid w:val="181F579A"/>
    <w:rsid w:val="18894358"/>
    <w:rsid w:val="18F0360F"/>
    <w:rsid w:val="19917121"/>
    <w:rsid w:val="199B1A82"/>
    <w:rsid w:val="19D81492"/>
    <w:rsid w:val="1A021CEC"/>
    <w:rsid w:val="1A5F3810"/>
    <w:rsid w:val="1A952EBF"/>
    <w:rsid w:val="1AA21556"/>
    <w:rsid w:val="1B145A18"/>
    <w:rsid w:val="1B663D4A"/>
    <w:rsid w:val="1C0C0063"/>
    <w:rsid w:val="1C2E28B4"/>
    <w:rsid w:val="1C754F57"/>
    <w:rsid w:val="1CAE7A7B"/>
    <w:rsid w:val="1CCB1CDA"/>
    <w:rsid w:val="1D053C55"/>
    <w:rsid w:val="1D455C7F"/>
    <w:rsid w:val="1D486CA7"/>
    <w:rsid w:val="1D66301E"/>
    <w:rsid w:val="1E4B6EDE"/>
    <w:rsid w:val="1EA13063"/>
    <w:rsid w:val="1EC4084D"/>
    <w:rsid w:val="1ECA78B5"/>
    <w:rsid w:val="1F2310D5"/>
    <w:rsid w:val="1F5E1AEF"/>
    <w:rsid w:val="1F9A516D"/>
    <w:rsid w:val="1FD93743"/>
    <w:rsid w:val="208E48B6"/>
    <w:rsid w:val="209A2D73"/>
    <w:rsid w:val="20C6003B"/>
    <w:rsid w:val="21051F8F"/>
    <w:rsid w:val="218D3AD5"/>
    <w:rsid w:val="21CA3F11"/>
    <w:rsid w:val="221B55B8"/>
    <w:rsid w:val="222265A8"/>
    <w:rsid w:val="222934C8"/>
    <w:rsid w:val="22761FBF"/>
    <w:rsid w:val="22A67E4D"/>
    <w:rsid w:val="22B40BB3"/>
    <w:rsid w:val="22EB6914"/>
    <w:rsid w:val="2331070B"/>
    <w:rsid w:val="23436277"/>
    <w:rsid w:val="2369465C"/>
    <w:rsid w:val="23CE4188"/>
    <w:rsid w:val="24B97A1E"/>
    <w:rsid w:val="24D75EF9"/>
    <w:rsid w:val="24F0437A"/>
    <w:rsid w:val="250C0C66"/>
    <w:rsid w:val="256B4AD1"/>
    <w:rsid w:val="256B6313"/>
    <w:rsid w:val="25A36CCD"/>
    <w:rsid w:val="25BB2B77"/>
    <w:rsid w:val="25F565F8"/>
    <w:rsid w:val="25FF3EDA"/>
    <w:rsid w:val="26115404"/>
    <w:rsid w:val="261D3973"/>
    <w:rsid w:val="263B4224"/>
    <w:rsid w:val="27495E26"/>
    <w:rsid w:val="27EF7CF6"/>
    <w:rsid w:val="27F1235D"/>
    <w:rsid w:val="27F525B9"/>
    <w:rsid w:val="280D71F0"/>
    <w:rsid w:val="28415719"/>
    <w:rsid w:val="285A091A"/>
    <w:rsid w:val="287C6A27"/>
    <w:rsid w:val="28876164"/>
    <w:rsid w:val="28AA656C"/>
    <w:rsid w:val="28E64158"/>
    <w:rsid w:val="29971D1B"/>
    <w:rsid w:val="29A5510B"/>
    <w:rsid w:val="29A82D33"/>
    <w:rsid w:val="29B37DF8"/>
    <w:rsid w:val="29BE5B9E"/>
    <w:rsid w:val="29D678C8"/>
    <w:rsid w:val="29EE51A3"/>
    <w:rsid w:val="2A252A39"/>
    <w:rsid w:val="2A3B0B6E"/>
    <w:rsid w:val="2A4C4E27"/>
    <w:rsid w:val="2A597B05"/>
    <w:rsid w:val="2AC84143"/>
    <w:rsid w:val="2AD06943"/>
    <w:rsid w:val="2AD40523"/>
    <w:rsid w:val="2BA520D9"/>
    <w:rsid w:val="2C132E0E"/>
    <w:rsid w:val="2C3B669C"/>
    <w:rsid w:val="2C482CBC"/>
    <w:rsid w:val="2C4A0F53"/>
    <w:rsid w:val="2C616CDA"/>
    <w:rsid w:val="2C883DE1"/>
    <w:rsid w:val="2D2E2EAF"/>
    <w:rsid w:val="2D322584"/>
    <w:rsid w:val="2D802FE0"/>
    <w:rsid w:val="2E1B6C71"/>
    <w:rsid w:val="2E1D708B"/>
    <w:rsid w:val="2E3344A1"/>
    <w:rsid w:val="2E545B5F"/>
    <w:rsid w:val="2EAB5B45"/>
    <w:rsid w:val="2EBE4CC6"/>
    <w:rsid w:val="2EC36C9C"/>
    <w:rsid w:val="2FEF3B0E"/>
    <w:rsid w:val="30184B7B"/>
    <w:rsid w:val="30495C16"/>
    <w:rsid w:val="30E66FFF"/>
    <w:rsid w:val="30F56752"/>
    <w:rsid w:val="31FE3F21"/>
    <w:rsid w:val="321F4C06"/>
    <w:rsid w:val="3234736B"/>
    <w:rsid w:val="323A5721"/>
    <w:rsid w:val="328829C2"/>
    <w:rsid w:val="3289626E"/>
    <w:rsid w:val="331A6489"/>
    <w:rsid w:val="332E6CE9"/>
    <w:rsid w:val="337515AB"/>
    <w:rsid w:val="33C73979"/>
    <w:rsid w:val="33CE6B98"/>
    <w:rsid w:val="33E85695"/>
    <w:rsid w:val="34306132"/>
    <w:rsid w:val="3467379F"/>
    <w:rsid w:val="348B2560"/>
    <w:rsid w:val="34A847C1"/>
    <w:rsid w:val="34CF72FF"/>
    <w:rsid w:val="350E158A"/>
    <w:rsid w:val="359F4801"/>
    <w:rsid w:val="35B207C7"/>
    <w:rsid w:val="35F14AAB"/>
    <w:rsid w:val="362A2451"/>
    <w:rsid w:val="362C1829"/>
    <w:rsid w:val="36784274"/>
    <w:rsid w:val="36A056FE"/>
    <w:rsid w:val="36B453AF"/>
    <w:rsid w:val="36C90ED9"/>
    <w:rsid w:val="36EA3B07"/>
    <w:rsid w:val="36EE300D"/>
    <w:rsid w:val="36F75954"/>
    <w:rsid w:val="37126C9A"/>
    <w:rsid w:val="37313540"/>
    <w:rsid w:val="37B00A1C"/>
    <w:rsid w:val="37EA453F"/>
    <w:rsid w:val="37FC0907"/>
    <w:rsid w:val="37FE0559"/>
    <w:rsid w:val="38477E82"/>
    <w:rsid w:val="3865243C"/>
    <w:rsid w:val="389610A9"/>
    <w:rsid w:val="389A6A66"/>
    <w:rsid w:val="38E12D42"/>
    <w:rsid w:val="38EB2685"/>
    <w:rsid w:val="392A20F4"/>
    <w:rsid w:val="393A1352"/>
    <w:rsid w:val="39726B9B"/>
    <w:rsid w:val="398C419B"/>
    <w:rsid w:val="39B80B57"/>
    <w:rsid w:val="3A4364CB"/>
    <w:rsid w:val="3A764E3C"/>
    <w:rsid w:val="3AA80EED"/>
    <w:rsid w:val="3AE857CC"/>
    <w:rsid w:val="3B374919"/>
    <w:rsid w:val="3C151AD1"/>
    <w:rsid w:val="3C92736E"/>
    <w:rsid w:val="3C9747E8"/>
    <w:rsid w:val="3CD44924"/>
    <w:rsid w:val="3D04711B"/>
    <w:rsid w:val="3D582B57"/>
    <w:rsid w:val="3D5C24A0"/>
    <w:rsid w:val="3D797663"/>
    <w:rsid w:val="3DA5220B"/>
    <w:rsid w:val="3DB829BF"/>
    <w:rsid w:val="3E066140"/>
    <w:rsid w:val="3E1C4787"/>
    <w:rsid w:val="3E2C102D"/>
    <w:rsid w:val="3E661F59"/>
    <w:rsid w:val="3E707256"/>
    <w:rsid w:val="3E7D24A4"/>
    <w:rsid w:val="3FFE6EB5"/>
    <w:rsid w:val="4005470D"/>
    <w:rsid w:val="400C575D"/>
    <w:rsid w:val="40362782"/>
    <w:rsid w:val="403A52B5"/>
    <w:rsid w:val="404A7C54"/>
    <w:rsid w:val="40736207"/>
    <w:rsid w:val="40D46038"/>
    <w:rsid w:val="40FA554B"/>
    <w:rsid w:val="41065619"/>
    <w:rsid w:val="412E65E0"/>
    <w:rsid w:val="41AF3848"/>
    <w:rsid w:val="41D85DD7"/>
    <w:rsid w:val="42697E89"/>
    <w:rsid w:val="427E5090"/>
    <w:rsid w:val="431266FC"/>
    <w:rsid w:val="43135086"/>
    <w:rsid w:val="432912BF"/>
    <w:rsid w:val="43367DF5"/>
    <w:rsid w:val="433E0333"/>
    <w:rsid w:val="43651100"/>
    <w:rsid w:val="43F9164E"/>
    <w:rsid w:val="447C399B"/>
    <w:rsid w:val="44DA3AB2"/>
    <w:rsid w:val="44ED796B"/>
    <w:rsid w:val="45593F99"/>
    <w:rsid w:val="458E7462"/>
    <w:rsid w:val="45AC00EF"/>
    <w:rsid w:val="45ED498E"/>
    <w:rsid w:val="46440A81"/>
    <w:rsid w:val="46692EDD"/>
    <w:rsid w:val="466F4784"/>
    <w:rsid w:val="46752DB4"/>
    <w:rsid w:val="472C287A"/>
    <w:rsid w:val="473B7B59"/>
    <w:rsid w:val="47480944"/>
    <w:rsid w:val="478074EF"/>
    <w:rsid w:val="47F24610"/>
    <w:rsid w:val="47F74B4B"/>
    <w:rsid w:val="47FC1C56"/>
    <w:rsid w:val="48312915"/>
    <w:rsid w:val="486D275F"/>
    <w:rsid w:val="488E04A6"/>
    <w:rsid w:val="48A25CFB"/>
    <w:rsid w:val="490101F8"/>
    <w:rsid w:val="49055A41"/>
    <w:rsid w:val="494872AC"/>
    <w:rsid w:val="49B64CC6"/>
    <w:rsid w:val="49ED518E"/>
    <w:rsid w:val="4A1A0AB1"/>
    <w:rsid w:val="4A1C6896"/>
    <w:rsid w:val="4A5B5AFD"/>
    <w:rsid w:val="4A5D6393"/>
    <w:rsid w:val="4AB33064"/>
    <w:rsid w:val="4B190279"/>
    <w:rsid w:val="4B1F6B72"/>
    <w:rsid w:val="4BCE5EF7"/>
    <w:rsid w:val="4C01292A"/>
    <w:rsid w:val="4C067D71"/>
    <w:rsid w:val="4CAE2695"/>
    <w:rsid w:val="4CC1603E"/>
    <w:rsid w:val="4CC8421C"/>
    <w:rsid w:val="4CEC3ACF"/>
    <w:rsid w:val="4CF66605"/>
    <w:rsid w:val="4D623AB5"/>
    <w:rsid w:val="4D7139A0"/>
    <w:rsid w:val="4D897233"/>
    <w:rsid w:val="4D8D17E8"/>
    <w:rsid w:val="4DCF3096"/>
    <w:rsid w:val="4DED06E9"/>
    <w:rsid w:val="4E526026"/>
    <w:rsid w:val="4EAC756B"/>
    <w:rsid w:val="4EC83609"/>
    <w:rsid w:val="4EDA2660"/>
    <w:rsid w:val="4EF84435"/>
    <w:rsid w:val="4F047222"/>
    <w:rsid w:val="4F0A730A"/>
    <w:rsid w:val="4F0B41D3"/>
    <w:rsid w:val="4F292839"/>
    <w:rsid w:val="4F7C719E"/>
    <w:rsid w:val="4FD2423D"/>
    <w:rsid w:val="4FFB31BD"/>
    <w:rsid w:val="50304A8A"/>
    <w:rsid w:val="50412A3E"/>
    <w:rsid w:val="504A1457"/>
    <w:rsid w:val="505C5429"/>
    <w:rsid w:val="50A56EEF"/>
    <w:rsid w:val="50EC3F52"/>
    <w:rsid w:val="512563EC"/>
    <w:rsid w:val="51265A1D"/>
    <w:rsid w:val="51316F78"/>
    <w:rsid w:val="5139030D"/>
    <w:rsid w:val="51430E0B"/>
    <w:rsid w:val="51467E7C"/>
    <w:rsid w:val="51DD19BE"/>
    <w:rsid w:val="51F87BAB"/>
    <w:rsid w:val="51FC10C9"/>
    <w:rsid w:val="522665D5"/>
    <w:rsid w:val="5290122A"/>
    <w:rsid w:val="52A274B9"/>
    <w:rsid w:val="52B7302E"/>
    <w:rsid w:val="52CB0969"/>
    <w:rsid w:val="52FF1FAC"/>
    <w:rsid w:val="53187185"/>
    <w:rsid w:val="535141EF"/>
    <w:rsid w:val="53BF6F2E"/>
    <w:rsid w:val="53E712F6"/>
    <w:rsid w:val="54296472"/>
    <w:rsid w:val="543A6298"/>
    <w:rsid w:val="544955F2"/>
    <w:rsid w:val="5450073A"/>
    <w:rsid w:val="546332B6"/>
    <w:rsid w:val="5499301B"/>
    <w:rsid w:val="54A112B0"/>
    <w:rsid w:val="54DC747C"/>
    <w:rsid w:val="54E011A4"/>
    <w:rsid w:val="54E33157"/>
    <w:rsid w:val="55DD647D"/>
    <w:rsid w:val="55E96125"/>
    <w:rsid w:val="55ED0DF0"/>
    <w:rsid w:val="56173618"/>
    <w:rsid w:val="56290A2A"/>
    <w:rsid w:val="565D7602"/>
    <w:rsid w:val="56862603"/>
    <w:rsid w:val="569762D0"/>
    <w:rsid w:val="569B27E5"/>
    <w:rsid w:val="571D00F2"/>
    <w:rsid w:val="572E2FC1"/>
    <w:rsid w:val="578A1789"/>
    <w:rsid w:val="579D7E09"/>
    <w:rsid w:val="57B0492D"/>
    <w:rsid w:val="57B80D4C"/>
    <w:rsid w:val="57E92C5F"/>
    <w:rsid w:val="580E4458"/>
    <w:rsid w:val="58565411"/>
    <w:rsid w:val="585773F0"/>
    <w:rsid w:val="585D252A"/>
    <w:rsid w:val="589A5975"/>
    <w:rsid w:val="598A2AC4"/>
    <w:rsid w:val="599958FE"/>
    <w:rsid w:val="599A2887"/>
    <w:rsid w:val="59F03B45"/>
    <w:rsid w:val="5A0A7E73"/>
    <w:rsid w:val="5A2C7870"/>
    <w:rsid w:val="5A410EDC"/>
    <w:rsid w:val="5A432E15"/>
    <w:rsid w:val="5A8561B2"/>
    <w:rsid w:val="5AB512CF"/>
    <w:rsid w:val="5AD7007C"/>
    <w:rsid w:val="5ADE724C"/>
    <w:rsid w:val="5BCB78EC"/>
    <w:rsid w:val="5C437597"/>
    <w:rsid w:val="5C6260B6"/>
    <w:rsid w:val="5C7F35AE"/>
    <w:rsid w:val="5C831DF6"/>
    <w:rsid w:val="5CB232C2"/>
    <w:rsid w:val="5CD52023"/>
    <w:rsid w:val="5CE44D55"/>
    <w:rsid w:val="5CE81514"/>
    <w:rsid w:val="5CFA27B1"/>
    <w:rsid w:val="5D19117D"/>
    <w:rsid w:val="5D225DD7"/>
    <w:rsid w:val="5D533E4A"/>
    <w:rsid w:val="5DD36522"/>
    <w:rsid w:val="5E242F75"/>
    <w:rsid w:val="5E3346BA"/>
    <w:rsid w:val="5E5D49EC"/>
    <w:rsid w:val="5E652D40"/>
    <w:rsid w:val="5E6A153A"/>
    <w:rsid w:val="5E6B4BD9"/>
    <w:rsid w:val="5E840ADC"/>
    <w:rsid w:val="5E9122EF"/>
    <w:rsid w:val="5E9136A9"/>
    <w:rsid w:val="5EC90BD7"/>
    <w:rsid w:val="5EEC1AD5"/>
    <w:rsid w:val="5F5C2995"/>
    <w:rsid w:val="5FB035F9"/>
    <w:rsid w:val="5FC92E81"/>
    <w:rsid w:val="60332E98"/>
    <w:rsid w:val="603B5DD0"/>
    <w:rsid w:val="60BA623F"/>
    <w:rsid w:val="60FA6B34"/>
    <w:rsid w:val="60FF3E87"/>
    <w:rsid w:val="61431E43"/>
    <w:rsid w:val="62105FE6"/>
    <w:rsid w:val="622025A4"/>
    <w:rsid w:val="626D0340"/>
    <w:rsid w:val="62794AAC"/>
    <w:rsid w:val="629369CC"/>
    <w:rsid w:val="62A713BB"/>
    <w:rsid w:val="632D4B2B"/>
    <w:rsid w:val="63443D32"/>
    <w:rsid w:val="63522344"/>
    <w:rsid w:val="639D49CB"/>
    <w:rsid w:val="63D835D0"/>
    <w:rsid w:val="64065FC5"/>
    <w:rsid w:val="64902714"/>
    <w:rsid w:val="649E71C5"/>
    <w:rsid w:val="64B52903"/>
    <w:rsid w:val="64DD2267"/>
    <w:rsid w:val="64DD6415"/>
    <w:rsid w:val="64EA2444"/>
    <w:rsid w:val="64F02457"/>
    <w:rsid w:val="652C1AF4"/>
    <w:rsid w:val="656A7CB0"/>
    <w:rsid w:val="656F0A3E"/>
    <w:rsid w:val="65B31687"/>
    <w:rsid w:val="66017511"/>
    <w:rsid w:val="665D7043"/>
    <w:rsid w:val="668C090D"/>
    <w:rsid w:val="66970965"/>
    <w:rsid w:val="66BA47F2"/>
    <w:rsid w:val="66C50624"/>
    <w:rsid w:val="66DF401D"/>
    <w:rsid w:val="671F6D4E"/>
    <w:rsid w:val="67675A8A"/>
    <w:rsid w:val="67874377"/>
    <w:rsid w:val="67FE4555"/>
    <w:rsid w:val="681E2C12"/>
    <w:rsid w:val="68282C27"/>
    <w:rsid w:val="688A6972"/>
    <w:rsid w:val="690B5816"/>
    <w:rsid w:val="69162FDD"/>
    <w:rsid w:val="69AA4D79"/>
    <w:rsid w:val="69DA26AD"/>
    <w:rsid w:val="69EF0EA1"/>
    <w:rsid w:val="6A1D7AA1"/>
    <w:rsid w:val="6A8B0F4C"/>
    <w:rsid w:val="6AA40198"/>
    <w:rsid w:val="6AE76FD0"/>
    <w:rsid w:val="6B1D43C1"/>
    <w:rsid w:val="6B920C0B"/>
    <w:rsid w:val="6B966C91"/>
    <w:rsid w:val="6BC15953"/>
    <w:rsid w:val="6BD02843"/>
    <w:rsid w:val="6BD16796"/>
    <w:rsid w:val="6BDF701B"/>
    <w:rsid w:val="6C3D036F"/>
    <w:rsid w:val="6C9A109B"/>
    <w:rsid w:val="6C9D7C7E"/>
    <w:rsid w:val="6D15689C"/>
    <w:rsid w:val="6D1A204E"/>
    <w:rsid w:val="6D2019C6"/>
    <w:rsid w:val="6D72505A"/>
    <w:rsid w:val="6D7B5A68"/>
    <w:rsid w:val="6D9B163C"/>
    <w:rsid w:val="6D9F4A83"/>
    <w:rsid w:val="6DDF7750"/>
    <w:rsid w:val="6DF20A9E"/>
    <w:rsid w:val="6DFC6ED7"/>
    <w:rsid w:val="6DFD1277"/>
    <w:rsid w:val="6E2040E8"/>
    <w:rsid w:val="6E292073"/>
    <w:rsid w:val="6E343E00"/>
    <w:rsid w:val="6ECF46A0"/>
    <w:rsid w:val="6F590F2E"/>
    <w:rsid w:val="6F81762F"/>
    <w:rsid w:val="6FA90BC5"/>
    <w:rsid w:val="6FB75F6E"/>
    <w:rsid w:val="6FC11FE3"/>
    <w:rsid w:val="6FE255E2"/>
    <w:rsid w:val="700E5170"/>
    <w:rsid w:val="70643B15"/>
    <w:rsid w:val="70743321"/>
    <w:rsid w:val="70A263CE"/>
    <w:rsid w:val="70AA7582"/>
    <w:rsid w:val="70BD1226"/>
    <w:rsid w:val="714F7BB1"/>
    <w:rsid w:val="716A51FF"/>
    <w:rsid w:val="71952E01"/>
    <w:rsid w:val="7197705A"/>
    <w:rsid w:val="71E51453"/>
    <w:rsid w:val="71EF5932"/>
    <w:rsid w:val="7234154F"/>
    <w:rsid w:val="72604FC6"/>
    <w:rsid w:val="727B1946"/>
    <w:rsid w:val="72872239"/>
    <w:rsid w:val="728B5808"/>
    <w:rsid w:val="731E2379"/>
    <w:rsid w:val="739C24F0"/>
    <w:rsid w:val="73A95FA7"/>
    <w:rsid w:val="73B046FD"/>
    <w:rsid w:val="73D4667B"/>
    <w:rsid w:val="73E91A49"/>
    <w:rsid w:val="74067BB0"/>
    <w:rsid w:val="74547672"/>
    <w:rsid w:val="7469313A"/>
    <w:rsid w:val="748244A9"/>
    <w:rsid w:val="74964880"/>
    <w:rsid w:val="74BF2A9F"/>
    <w:rsid w:val="74D767F2"/>
    <w:rsid w:val="75312DF7"/>
    <w:rsid w:val="754F0F6B"/>
    <w:rsid w:val="7561628F"/>
    <w:rsid w:val="75685846"/>
    <w:rsid w:val="757066E6"/>
    <w:rsid w:val="75AF3560"/>
    <w:rsid w:val="75BD203C"/>
    <w:rsid w:val="75C1155B"/>
    <w:rsid w:val="75DD16C4"/>
    <w:rsid w:val="75EC04CD"/>
    <w:rsid w:val="75FC6DE5"/>
    <w:rsid w:val="764C143E"/>
    <w:rsid w:val="76513E08"/>
    <w:rsid w:val="76CD3EB6"/>
    <w:rsid w:val="76E81ACA"/>
    <w:rsid w:val="77107650"/>
    <w:rsid w:val="77154A3F"/>
    <w:rsid w:val="77516EDD"/>
    <w:rsid w:val="77BF7073"/>
    <w:rsid w:val="77EF506A"/>
    <w:rsid w:val="77EF50A2"/>
    <w:rsid w:val="78057549"/>
    <w:rsid w:val="781E2D7D"/>
    <w:rsid w:val="7820389F"/>
    <w:rsid w:val="784C1618"/>
    <w:rsid w:val="785837A1"/>
    <w:rsid w:val="78646D11"/>
    <w:rsid w:val="7885693C"/>
    <w:rsid w:val="78C05430"/>
    <w:rsid w:val="78E61C47"/>
    <w:rsid w:val="78F71A09"/>
    <w:rsid w:val="790220D3"/>
    <w:rsid w:val="79164ACF"/>
    <w:rsid w:val="79B03AD1"/>
    <w:rsid w:val="79B06C64"/>
    <w:rsid w:val="79E37CF2"/>
    <w:rsid w:val="79FB68C0"/>
    <w:rsid w:val="7A316AC6"/>
    <w:rsid w:val="7A334EC3"/>
    <w:rsid w:val="7A5057B2"/>
    <w:rsid w:val="7A567056"/>
    <w:rsid w:val="7AE84180"/>
    <w:rsid w:val="7AF36704"/>
    <w:rsid w:val="7AFA340C"/>
    <w:rsid w:val="7B001191"/>
    <w:rsid w:val="7B094C67"/>
    <w:rsid w:val="7B145262"/>
    <w:rsid w:val="7B147CE7"/>
    <w:rsid w:val="7B1B336C"/>
    <w:rsid w:val="7B97490D"/>
    <w:rsid w:val="7BA1518B"/>
    <w:rsid w:val="7BA665E7"/>
    <w:rsid w:val="7BB87676"/>
    <w:rsid w:val="7BE610CF"/>
    <w:rsid w:val="7BF85ADF"/>
    <w:rsid w:val="7C0A2A90"/>
    <w:rsid w:val="7C424940"/>
    <w:rsid w:val="7C6B50A8"/>
    <w:rsid w:val="7C960235"/>
    <w:rsid w:val="7CF238FD"/>
    <w:rsid w:val="7D033F58"/>
    <w:rsid w:val="7D074888"/>
    <w:rsid w:val="7D190555"/>
    <w:rsid w:val="7D1F3584"/>
    <w:rsid w:val="7D8029C8"/>
    <w:rsid w:val="7D9D1FFD"/>
    <w:rsid w:val="7DE85DC2"/>
    <w:rsid w:val="7DEB5708"/>
    <w:rsid w:val="7E3119FE"/>
    <w:rsid w:val="7E39614C"/>
    <w:rsid w:val="7E484BE2"/>
    <w:rsid w:val="7E487BE2"/>
    <w:rsid w:val="7E513F74"/>
    <w:rsid w:val="7E897631"/>
    <w:rsid w:val="7EB94524"/>
    <w:rsid w:val="7ECD1051"/>
    <w:rsid w:val="7F083E33"/>
    <w:rsid w:val="7F18159F"/>
    <w:rsid w:val="7F312F85"/>
    <w:rsid w:val="7F543621"/>
    <w:rsid w:val="7F691C4E"/>
    <w:rsid w:val="7FFE5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semiHidden/>
    <w:unhideWhenUsed/>
    <w:qFormat/>
    <w:uiPriority w:val="99"/>
    <w:rPr>
      <w:sz w:val="21"/>
      <w:szCs w:val="21"/>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character" w:customStyle="1" w:styleId="13">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27</Pages>
  <Words>2132</Words>
  <Characters>12156</Characters>
  <Lines>101</Lines>
  <Paragraphs>28</Paragraphs>
  <TotalTime>35</TotalTime>
  <ScaleCrop>false</ScaleCrop>
  <LinksUpToDate>false</LinksUpToDate>
  <CharactersWithSpaces>14260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2022-01-03T02:36:00Z</dcterms:created>
  <dc:creator>鲁海峰</dc:creator>
  <cp:lastModifiedBy>user2</cp:lastModifiedBy>
  <cp:lastPrinted>2022-03-02T03:10:33Z</cp:lastPrinted>
  <dcterms:modified xsi:type="dcterms:W3CDTF">2022-03-02T03:15:29Z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3DBB8A52B8C245F3BA4A78AE89C77D88</vt:lpwstr>
  </property>
</Properties>
</file>