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535"/>
          <w:tab w:val="left" w:pos="6375"/>
        </w:tabs>
        <w:spacing w:line="400" w:lineRule="exact"/>
        <w:rPr>
          <w:rFonts w:ascii="宋体" w:hAnsi="宋体" w:cs="宋体"/>
          <w:bCs/>
          <w:kern w:val="0"/>
          <w:sz w:val="24"/>
        </w:rPr>
      </w:pPr>
    </w:p>
    <w:p>
      <w:pPr>
        <w:tabs>
          <w:tab w:val="center" w:pos="4535"/>
          <w:tab w:val="left" w:pos="6375"/>
        </w:tabs>
        <w:spacing w:line="400" w:lineRule="exact"/>
        <w:rPr>
          <w:rFonts w:ascii="宋体" w:hAnsi="宋体" w:cs="宋体"/>
          <w:bCs/>
          <w:kern w:val="0"/>
          <w:sz w:val="24"/>
        </w:rPr>
      </w:pPr>
    </w:p>
    <w:p>
      <w:pPr>
        <w:adjustRightInd w:val="0"/>
        <w:snapToGrid w:val="0"/>
        <w:jc w:val="center"/>
        <w:rPr>
          <w:rFonts w:ascii="黑体" w:hAnsi="黑体" w:eastAsia="黑体" w:cs="黑体"/>
          <w:b/>
          <w:kern w:val="0"/>
          <w:sz w:val="44"/>
          <w:szCs w:val="44"/>
        </w:rPr>
      </w:pPr>
      <w:r>
        <w:rPr>
          <w:rFonts w:hint="eastAsia" w:ascii="黑体" w:hAnsi="黑体" w:eastAsia="黑体" w:cs="黑体"/>
          <w:b/>
          <w:kern w:val="0"/>
          <w:sz w:val="44"/>
          <w:szCs w:val="44"/>
        </w:rPr>
        <w:t>目    录</w:t>
      </w:r>
    </w:p>
    <w:p>
      <w:pPr>
        <w:pStyle w:val="7"/>
        <w:spacing w:line="400" w:lineRule="exact"/>
        <w:rPr>
          <w:rFonts w:ascii="宋体" w:hAnsi="宋体" w:cs="宋体"/>
          <w:sz w:val="24"/>
        </w:rPr>
      </w:pPr>
      <w:r>
        <w:rPr>
          <w:rFonts w:hint="eastAsia" w:ascii="宋体" w:hAnsi="宋体" w:cs="宋体"/>
          <w:sz w:val="24"/>
        </w:rPr>
        <w:t xml:space="preserve">            </w:t>
      </w:r>
    </w:p>
    <w:p>
      <w:pPr>
        <w:pStyle w:val="7"/>
        <w:spacing w:line="400" w:lineRule="exact"/>
        <w:rPr>
          <w:rFonts w:ascii="宋体" w:hAnsi="宋体" w:cs="宋体"/>
          <w:sz w:val="24"/>
        </w:rPr>
      </w:pPr>
    </w:p>
    <w:p>
      <w:pPr>
        <w:tabs>
          <w:tab w:val="right" w:leader="dot" w:pos="9060"/>
        </w:tabs>
        <w:adjustRightInd w:val="0"/>
        <w:snapToGrid w:val="0"/>
        <w:spacing w:line="500" w:lineRule="exact"/>
        <w:rPr>
          <w:rFonts w:ascii="宋体" w:hAnsi="宋体" w:cs="宋体"/>
          <w:bCs/>
          <w:kern w:val="0"/>
          <w:sz w:val="24"/>
        </w:rPr>
      </w:pPr>
      <w:r>
        <w:rPr>
          <w:rFonts w:hint="eastAsia" w:ascii="黑体" w:hAnsi="黑体" w:eastAsia="黑体" w:cs="黑体"/>
          <w:bCs/>
          <w:kern w:val="0"/>
          <w:sz w:val="24"/>
        </w:rPr>
        <w:t>前   言</w:t>
      </w:r>
      <w:r>
        <w:rPr>
          <w:rFonts w:hint="eastAsia" w:ascii="宋体" w:hAnsi="宋体" w:cs="宋体"/>
          <w:bCs/>
          <w:kern w:val="0"/>
          <w:sz w:val="24"/>
        </w:rPr>
        <w:tab/>
      </w:r>
      <w:r>
        <w:rPr>
          <w:rFonts w:hint="eastAsia" w:ascii="宋体" w:hAnsi="宋体" w:cs="宋体"/>
          <w:bCs/>
          <w:kern w:val="0"/>
          <w:sz w:val="24"/>
        </w:rPr>
        <w:t>1</w:t>
      </w:r>
    </w:p>
    <w:p>
      <w:pPr>
        <w:tabs>
          <w:tab w:val="right" w:leader="dot" w:pos="9060"/>
        </w:tabs>
        <w:adjustRightInd w:val="0"/>
        <w:snapToGrid w:val="0"/>
        <w:spacing w:line="500" w:lineRule="exact"/>
        <w:rPr>
          <w:rFonts w:ascii="宋体" w:hAnsi="宋体" w:cs="宋体"/>
          <w:bCs/>
          <w:kern w:val="0"/>
          <w:sz w:val="24"/>
        </w:rPr>
      </w:pPr>
      <w:r>
        <w:rPr>
          <w:rFonts w:hint="eastAsia" w:ascii="黑体" w:hAnsi="黑体" w:eastAsia="黑体" w:cs="黑体"/>
          <w:bCs/>
          <w:kern w:val="0"/>
          <w:sz w:val="24"/>
        </w:rPr>
        <w:t>一、本科教育基本情况</w:t>
      </w:r>
      <w:r>
        <w:rPr>
          <w:rFonts w:hint="eastAsia" w:ascii="宋体" w:hAnsi="宋体" w:cs="宋体"/>
          <w:bCs/>
          <w:kern w:val="0"/>
          <w:sz w:val="24"/>
        </w:rPr>
        <w:tab/>
      </w:r>
      <w:r>
        <w:rPr>
          <w:rFonts w:hint="eastAsia" w:ascii="宋体" w:hAnsi="宋体" w:cs="宋体"/>
          <w:bCs/>
          <w:kern w:val="0"/>
          <w:sz w:val="24"/>
        </w:rPr>
        <w:t>2</w:t>
      </w:r>
    </w:p>
    <w:p>
      <w:pPr>
        <w:tabs>
          <w:tab w:val="right" w:leader="dot" w:pos="9060"/>
        </w:tabs>
        <w:adjustRightInd w:val="0"/>
        <w:snapToGrid w:val="0"/>
        <w:spacing w:line="500" w:lineRule="exact"/>
        <w:ind w:firstLine="456" w:firstLineChars="200"/>
        <w:rPr>
          <w:rFonts w:ascii="宋体" w:hAnsi="宋体" w:cs="宋体"/>
          <w:bCs/>
          <w:kern w:val="0"/>
          <w:sz w:val="24"/>
        </w:rPr>
      </w:pPr>
      <w:r>
        <w:rPr>
          <w:rFonts w:hint="eastAsia" w:ascii="宋体" w:hAnsi="宋体" w:cs="宋体"/>
          <w:bCs/>
          <w:kern w:val="0"/>
          <w:sz w:val="24"/>
        </w:rPr>
        <w:t>（一）人才培养目标及服务面向</w:t>
      </w:r>
      <w:r>
        <w:rPr>
          <w:rFonts w:hint="eastAsia" w:ascii="宋体" w:hAnsi="宋体" w:cs="宋体"/>
          <w:bCs/>
          <w:kern w:val="0"/>
          <w:sz w:val="24"/>
        </w:rPr>
        <w:tab/>
      </w:r>
      <w:r>
        <w:rPr>
          <w:rFonts w:hint="eastAsia" w:ascii="宋体" w:hAnsi="宋体" w:cs="宋体"/>
          <w:bCs/>
          <w:kern w:val="0"/>
          <w:sz w:val="24"/>
        </w:rPr>
        <w:t>2</w:t>
      </w:r>
    </w:p>
    <w:p>
      <w:pPr>
        <w:tabs>
          <w:tab w:val="right" w:leader="dot" w:pos="9060"/>
        </w:tabs>
        <w:adjustRightInd w:val="0"/>
        <w:snapToGrid w:val="0"/>
        <w:spacing w:line="500" w:lineRule="exact"/>
        <w:rPr>
          <w:rFonts w:ascii="宋体" w:hAnsi="宋体" w:cs="宋体"/>
          <w:bCs/>
          <w:kern w:val="0"/>
          <w:sz w:val="24"/>
        </w:rPr>
      </w:pPr>
      <w:r>
        <w:rPr>
          <w:rFonts w:hint="eastAsia" w:ascii="宋体" w:hAnsi="宋体" w:cs="宋体"/>
          <w:bCs/>
          <w:kern w:val="0"/>
          <w:sz w:val="24"/>
        </w:rPr>
        <w:t xml:space="preserve">    （二）专业设置与学科支撑</w:t>
      </w:r>
      <w:r>
        <w:rPr>
          <w:rFonts w:hint="eastAsia" w:ascii="宋体" w:hAnsi="宋体" w:cs="宋体"/>
          <w:bCs/>
          <w:kern w:val="0"/>
          <w:sz w:val="24"/>
        </w:rPr>
        <w:tab/>
      </w:r>
      <w:r>
        <w:rPr>
          <w:rFonts w:hint="eastAsia" w:ascii="宋体" w:hAnsi="宋体" w:cs="宋体"/>
          <w:bCs/>
          <w:kern w:val="0"/>
          <w:sz w:val="24"/>
        </w:rPr>
        <w:t>2</w:t>
      </w:r>
    </w:p>
    <w:p>
      <w:pPr>
        <w:tabs>
          <w:tab w:val="right" w:leader="dot" w:pos="9060"/>
        </w:tabs>
        <w:adjustRightInd w:val="0"/>
        <w:snapToGrid w:val="0"/>
        <w:spacing w:line="500" w:lineRule="exact"/>
        <w:ind w:firstLine="447" w:firstLineChars="196"/>
        <w:rPr>
          <w:rFonts w:ascii="宋体" w:hAnsi="宋体" w:cs="宋体"/>
          <w:bCs/>
          <w:kern w:val="0"/>
          <w:sz w:val="24"/>
        </w:rPr>
      </w:pPr>
      <w:r>
        <w:rPr>
          <w:rFonts w:hint="eastAsia" w:ascii="宋体" w:hAnsi="宋体" w:cs="宋体"/>
          <w:bCs/>
          <w:kern w:val="0"/>
          <w:sz w:val="24"/>
        </w:rPr>
        <w:t>（三）在校学生情况</w:t>
      </w:r>
      <w:r>
        <w:rPr>
          <w:rFonts w:hint="eastAsia" w:ascii="宋体" w:hAnsi="宋体" w:cs="宋体"/>
          <w:bCs/>
          <w:kern w:val="0"/>
          <w:sz w:val="24"/>
        </w:rPr>
        <w:tab/>
      </w:r>
      <w:r>
        <w:rPr>
          <w:rFonts w:hint="eastAsia" w:ascii="宋体" w:hAnsi="宋体" w:cs="宋体"/>
          <w:bCs/>
          <w:kern w:val="0"/>
          <w:sz w:val="24"/>
        </w:rPr>
        <w:t>5</w:t>
      </w:r>
    </w:p>
    <w:p>
      <w:pPr>
        <w:tabs>
          <w:tab w:val="right" w:leader="dot" w:pos="9060"/>
        </w:tabs>
        <w:adjustRightInd w:val="0"/>
        <w:snapToGrid w:val="0"/>
        <w:spacing w:line="500" w:lineRule="exact"/>
        <w:ind w:firstLine="447" w:firstLineChars="196"/>
        <w:rPr>
          <w:rFonts w:ascii="宋体" w:hAnsi="宋体" w:cs="宋体"/>
          <w:sz w:val="24"/>
        </w:rPr>
      </w:pPr>
      <w:r>
        <w:rPr>
          <w:rFonts w:hint="eastAsia" w:ascii="宋体" w:hAnsi="宋体" w:cs="宋体"/>
          <w:bCs/>
          <w:kern w:val="0"/>
          <w:sz w:val="24"/>
        </w:rPr>
        <w:t>（四）生源质量情况</w:t>
      </w:r>
      <w:r>
        <w:rPr>
          <w:rFonts w:hint="eastAsia" w:ascii="宋体" w:hAnsi="宋体" w:cs="宋体"/>
          <w:bCs/>
          <w:kern w:val="0"/>
          <w:sz w:val="24"/>
        </w:rPr>
        <w:tab/>
      </w:r>
      <w:r>
        <w:rPr>
          <w:rFonts w:hint="eastAsia" w:ascii="宋体" w:hAnsi="宋体" w:cs="宋体"/>
          <w:bCs/>
          <w:kern w:val="0"/>
          <w:sz w:val="24"/>
        </w:rPr>
        <w:t>6</w:t>
      </w:r>
    </w:p>
    <w:p>
      <w:pPr>
        <w:tabs>
          <w:tab w:val="right" w:leader="dot" w:pos="9060"/>
        </w:tabs>
        <w:adjustRightInd w:val="0"/>
        <w:snapToGrid w:val="0"/>
        <w:spacing w:line="500" w:lineRule="exact"/>
        <w:rPr>
          <w:rFonts w:ascii="宋体" w:hAnsi="宋体" w:cs="宋体"/>
          <w:bCs/>
          <w:kern w:val="0"/>
          <w:sz w:val="24"/>
        </w:rPr>
      </w:pPr>
      <w:r>
        <w:rPr>
          <w:rFonts w:hint="eastAsia" w:ascii="黑体" w:hAnsi="黑体" w:eastAsia="黑体" w:cs="黑体"/>
          <w:bCs/>
          <w:kern w:val="0"/>
          <w:sz w:val="24"/>
        </w:rPr>
        <w:t>二、师资与教学条件</w:t>
      </w:r>
      <w:r>
        <w:rPr>
          <w:rFonts w:hint="eastAsia" w:ascii="宋体" w:hAnsi="宋体" w:cs="宋体"/>
          <w:bCs/>
          <w:kern w:val="0"/>
          <w:sz w:val="24"/>
        </w:rPr>
        <w:tab/>
      </w:r>
      <w:r>
        <w:rPr>
          <w:rFonts w:hint="eastAsia" w:ascii="宋体" w:hAnsi="宋体" w:cs="宋体"/>
          <w:bCs/>
          <w:kern w:val="0"/>
          <w:sz w:val="24"/>
        </w:rPr>
        <w:t>6</w:t>
      </w:r>
    </w:p>
    <w:p>
      <w:pPr>
        <w:tabs>
          <w:tab w:val="right" w:leader="dot" w:pos="9060"/>
        </w:tabs>
        <w:adjustRightInd w:val="0"/>
        <w:snapToGrid w:val="0"/>
        <w:spacing w:line="500" w:lineRule="exact"/>
        <w:ind w:firstLine="456" w:firstLineChars="200"/>
        <w:rPr>
          <w:rFonts w:ascii="宋体" w:hAnsi="宋体" w:cs="宋体"/>
          <w:bCs/>
          <w:kern w:val="0"/>
          <w:sz w:val="24"/>
        </w:rPr>
      </w:pPr>
      <w:r>
        <w:rPr>
          <w:rFonts w:hint="eastAsia" w:ascii="宋体" w:hAnsi="宋体" w:cs="宋体"/>
          <w:bCs/>
          <w:kern w:val="0"/>
          <w:sz w:val="24"/>
        </w:rPr>
        <w:t>（一）师资队伍数量及结构</w:t>
      </w:r>
      <w:r>
        <w:rPr>
          <w:rFonts w:hint="eastAsia" w:ascii="宋体" w:hAnsi="宋体" w:cs="宋体"/>
          <w:bCs/>
          <w:kern w:val="0"/>
          <w:sz w:val="24"/>
        </w:rPr>
        <w:tab/>
      </w:r>
      <w:r>
        <w:rPr>
          <w:rFonts w:hint="eastAsia" w:ascii="宋体" w:hAnsi="宋体" w:cs="宋体"/>
          <w:bCs/>
          <w:kern w:val="0"/>
          <w:sz w:val="24"/>
        </w:rPr>
        <w:t>6</w:t>
      </w:r>
    </w:p>
    <w:p>
      <w:pPr>
        <w:tabs>
          <w:tab w:val="right" w:leader="dot" w:pos="9060"/>
        </w:tabs>
        <w:adjustRightInd w:val="0"/>
        <w:snapToGrid w:val="0"/>
        <w:spacing w:line="500" w:lineRule="exact"/>
        <w:ind w:firstLine="456" w:firstLineChars="200"/>
        <w:rPr>
          <w:rFonts w:ascii="宋体" w:hAnsi="宋体" w:cs="宋体"/>
          <w:bCs/>
          <w:kern w:val="0"/>
          <w:sz w:val="24"/>
        </w:rPr>
      </w:pPr>
      <w:r>
        <w:rPr>
          <w:rFonts w:hint="eastAsia" w:ascii="宋体" w:hAnsi="宋体" w:cs="宋体"/>
          <w:bCs/>
          <w:kern w:val="0"/>
          <w:sz w:val="24"/>
        </w:rPr>
        <w:t>（二）教授承担本科课程情况</w:t>
      </w:r>
      <w:r>
        <w:rPr>
          <w:rFonts w:hint="eastAsia" w:ascii="宋体" w:hAnsi="宋体" w:cs="宋体"/>
          <w:bCs/>
          <w:kern w:val="0"/>
          <w:sz w:val="24"/>
        </w:rPr>
        <w:tab/>
      </w:r>
      <w:r>
        <w:rPr>
          <w:rFonts w:hint="eastAsia" w:ascii="宋体" w:hAnsi="宋体" w:cs="宋体"/>
          <w:bCs/>
          <w:kern w:val="0"/>
          <w:sz w:val="24"/>
        </w:rPr>
        <w:t>8</w:t>
      </w:r>
    </w:p>
    <w:p>
      <w:pPr>
        <w:tabs>
          <w:tab w:val="right" w:leader="dot" w:pos="9060"/>
        </w:tabs>
        <w:adjustRightInd w:val="0"/>
        <w:snapToGrid w:val="0"/>
        <w:spacing w:line="500" w:lineRule="exact"/>
        <w:ind w:firstLine="456" w:firstLineChars="200"/>
        <w:rPr>
          <w:rFonts w:ascii="宋体" w:hAnsi="宋体" w:cs="宋体"/>
          <w:bCs/>
          <w:kern w:val="0"/>
          <w:sz w:val="24"/>
        </w:rPr>
      </w:pPr>
      <w:r>
        <w:rPr>
          <w:rFonts w:hint="eastAsia" w:ascii="宋体" w:hAnsi="宋体" w:cs="宋体"/>
          <w:bCs/>
          <w:kern w:val="0"/>
          <w:sz w:val="24"/>
        </w:rPr>
        <w:t>（三）教学经费投入</w:t>
      </w:r>
      <w:r>
        <w:rPr>
          <w:rFonts w:hint="eastAsia" w:ascii="宋体" w:hAnsi="宋体" w:cs="宋体"/>
          <w:bCs/>
          <w:kern w:val="0"/>
          <w:sz w:val="24"/>
        </w:rPr>
        <w:tab/>
      </w:r>
      <w:r>
        <w:rPr>
          <w:rFonts w:hint="eastAsia" w:ascii="宋体" w:hAnsi="宋体" w:cs="宋体"/>
          <w:bCs/>
          <w:kern w:val="0"/>
          <w:sz w:val="24"/>
        </w:rPr>
        <w:t>8</w:t>
      </w:r>
    </w:p>
    <w:p>
      <w:pPr>
        <w:tabs>
          <w:tab w:val="right" w:leader="dot" w:pos="9060"/>
        </w:tabs>
        <w:adjustRightInd w:val="0"/>
        <w:snapToGrid w:val="0"/>
        <w:spacing w:line="500" w:lineRule="exact"/>
        <w:ind w:firstLine="456" w:firstLineChars="200"/>
        <w:rPr>
          <w:rFonts w:ascii="宋体" w:hAnsi="宋体" w:cs="宋体"/>
          <w:bCs/>
          <w:kern w:val="0"/>
          <w:sz w:val="24"/>
        </w:rPr>
      </w:pPr>
      <w:r>
        <w:rPr>
          <w:rFonts w:hint="eastAsia" w:ascii="宋体" w:hAnsi="宋体" w:cs="宋体"/>
          <w:bCs/>
          <w:kern w:val="0"/>
          <w:sz w:val="24"/>
        </w:rPr>
        <w:t>（四）教学用房及仪器设备</w:t>
      </w:r>
      <w:r>
        <w:rPr>
          <w:rFonts w:hint="eastAsia" w:ascii="宋体" w:hAnsi="宋体" w:cs="宋体"/>
          <w:bCs/>
          <w:kern w:val="0"/>
          <w:sz w:val="24"/>
        </w:rPr>
        <w:tab/>
      </w:r>
      <w:r>
        <w:rPr>
          <w:rFonts w:hint="eastAsia" w:ascii="宋体" w:hAnsi="宋体" w:cs="宋体"/>
          <w:bCs/>
          <w:kern w:val="0"/>
          <w:sz w:val="24"/>
        </w:rPr>
        <w:t>8</w:t>
      </w:r>
    </w:p>
    <w:p>
      <w:pPr>
        <w:tabs>
          <w:tab w:val="right" w:leader="dot" w:pos="9060"/>
        </w:tabs>
        <w:adjustRightInd w:val="0"/>
        <w:snapToGrid w:val="0"/>
        <w:spacing w:line="500" w:lineRule="exact"/>
        <w:ind w:firstLine="447" w:firstLineChars="196"/>
        <w:rPr>
          <w:rFonts w:ascii="宋体" w:hAnsi="宋体" w:cs="宋体"/>
          <w:sz w:val="24"/>
        </w:rPr>
      </w:pPr>
      <w:r>
        <w:rPr>
          <w:rFonts w:hint="eastAsia" w:ascii="宋体" w:hAnsi="宋体" w:cs="宋体"/>
          <w:bCs/>
          <w:kern w:val="0"/>
          <w:sz w:val="24"/>
        </w:rPr>
        <w:t>（五）图书信息资源与利用</w:t>
      </w:r>
      <w:r>
        <w:rPr>
          <w:rFonts w:hint="eastAsia" w:ascii="宋体" w:hAnsi="宋体" w:cs="宋体"/>
          <w:bCs/>
          <w:kern w:val="0"/>
          <w:sz w:val="24"/>
        </w:rPr>
        <w:tab/>
      </w:r>
      <w:r>
        <w:rPr>
          <w:rFonts w:hint="eastAsia" w:ascii="宋体" w:hAnsi="宋体" w:cs="宋体"/>
          <w:bCs/>
          <w:kern w:val="0"/>
          <w:sz w:val="24"/>
        </w:rPr>
        <w:t>8</w:t>
      </w:r>
    </w:p>
    <w:p>
      <w:pPr>
        <w:tabs>
          <w:tab w:val="right" w:leader="dot" w:pos="9060"/>
        </w:tabs>
        <w:adjustRightInd w:val="0"/>
        <w:snapToGrid w:val="0"/>
        <w:spacing w:line="500" w:lineRule="exact"/>
        <w:rPr>
          <w:rFonts w:ascii="宋体" w:hAnsi="宋体" w:cs="宋体"/>
          <w:bCs/>
          <w:kern w:val="0"/>
          <w:sz w:val="24"/>
        </w:rPr>
      </w:pPr>
      <w:r>
        <w:rPr>
          <w:rFonts w:hint="eastAsia" w:ascii="黑体" w:hAnsi="黑体" w:eastAsia="黑体" w:cs="黑体"/>
          <w:bCs/>
          <w:kern w:val="0"/>
          <w:sz w:val="24"/>
        </w:rPr>
        <w:t>三、教学建设与改革</w:t>
      </w:r>
      <w:r>
        <w:rPr>
          <w:rFonts w:hint="eastAsia" w:ascii="宋体" w:hAnsi="宋体" w:cs="宋体"/>
          <w:bCs/>
          <w:kern w:val="0"/>
          <w:sz w:val="24"/>
        </w:rPr>
        <w:tab/>
      </w:r>
      <w:r>
        <w:rPr>
          <w:rFonts w:hint="eastAsia" w:ascii="宋体" w:hAnsi="宋体" w:cs="宋体"/>
          <w:bCs/>
          <w:kern w:val="0"/>
          <w:sz w:val="24"/>
        </w:rPr>
        <w:t>9</w:t>
      </w:r>
    </w:p>
    <w:p>
      <w:pPr>
        <w:tabs>
          <w:tab w:val="right" w:leader="dot" w:pos="9060"/>
        </w:tabs>
        <w:adjustRightInd w:val="0"/>
        <w:snapToGrid w:val="0"/>
        <w:spacing w:line="500" w:lineRule="exact"/>
        <w:ind w:firstLine="456" w:firstLineChars="200"/>
        <w:rPr>
          <w:rFonts w:ascii="宋体" w:hAnsi="宋体" w:cs="宋体"/>
          <w:bCs/>
          <w:kern w:val="0"/>
          <w:sz w:val="24"/>
        </w:rPr>
      </w:pPr>
      <w:r>
        <w:rPr>
          <w:rFonts w:hint="eastAsia" w:ascii="宋体" w:hAnsi="宋体" w:cs="宋体"/>
          <w:bCs/>
          <w:kern w:val="0"/>
          <w:sz w:val="24"/>
        </w:rPr>
        <w:t>（一）专业建设与改革</w:t>
      </w:r>
      <w:r>
        <w:rPr>
          <w:rFonts w:hint="eastAsia" w:ascii="宋体" w:hAnsi="宋体" w:cs="宋体"/>
          <w:bCs/>
          <w:kern w:val="0"/>
          <w:sz w:val="24"/>
        </w:rPr>
        <w:tab/>
      </w:r>
      <w:r>
        <w:rPr>
          <w:rFonts w:hint="eastAsia" w:ascii="宋体" w:hAnsi="宋体" w:cs="宋体"/>
          <w:bCs/>
          <w:kern w:val="0"/>
          <w:sz w:val="24"/>
        </w:rPr>
        <w:t>9</w:t>
      </w:r>
    </w:p>
    <w:p>
      <w:pPr>
        <w:tabs>
          <w:tab w:val="right" w:leader="dot" w:pos="9060"/>
        </w:tabs>
        <w:adjustRightInd w:val="0"/>
        <w:snapToGrid w:val="0"/>
        <w:spacing w:line="500" w:lineRule="exact"/>
        <w:ind w:firstLine="456" w:firstLineChars="200"/>
        <w:rPr>
          <w:rFonts w:ascii="宋体" w:hAnsi="宋体" w:cs="宋体"/>
          <w:bCs/>
          <w:kern w:val="0"/>
          <w:sz w:val="24"/>
        </w:rPr>
      </w:pPr>
      <w:r>
        <w:rPr>
          <w:rFonts w:hint="eastAsia" w:ascii="宋体" w:hAnsi="宋体" w:cs="宋体"/>
          <w:bCs/>
          <w:kern w:val="0"/>
          <w:sz w:val="24"/>
        </w:rPr>
        <w:t>（二）课程建设与改革</w:t>
      </w:r>
      <w:r>
        <w:rPr>
          <w:rFonts w:hint="eastAsia" w:ascii="宋体" w:hAnsi="宋体" w:cs="宋体"/>
          <w:bCs/>
          <w:kern w:val="0"/>
          <w:sz w:val="24"/>
        </w:rPr>
        <w:tab/>
      </w:r>
      <w:r>
        <w:rPr>
          <w:rFonts w:hint="eastAsia" w:ascii="宋体" w:hAnsi="宋体" w:cs="宋体"/>
          <w:bCs/>
          <w:kern w:val="0"/>
          <w:sz w:val="24"/>
        </w:rPr>
        <w:t>11</w:t>
      </w:r>
    </w:p>
    <w:p>
      <w:pPr>
        <w:tabs>
          <w:tab w:val="right" w:leader="dot" w:pos="9060"/>
        </w:tabs>
        <w:adjustRightInd w:val="0"/>
        <w:snapToGrid w:val="0"/>
        <w:spacing w:line="500" w:lineRule="exact"/>
        <w:ind w:firstLine="456" w:firstLineChars="200"/>
        <w:rPr>
          <w:rFonts w:hint="eastAsia" w:ascii="宋体" w:hAnsi="宋体" w:eastAsia="宋体" w:cs="宋体"/>
          <w:bCs/>
          <w:kern w:val="0"/>
          <w:sz w:val="24"/>
          <w:lang w:eastAsia="zh-CN"/>
        </w:rPr>
      </w:pPr>
      <w:r>
        <w:rPr>
          <w:rFonts w:hint="eastAsia" w:ascii="宋体" w:hAnsi="宋体" w:cs="宋体"/>
          <w:bCs/>
          <w:kern w:val="0"/>
          <w:sz w:val="24"/>
        </w:rPr>
        <w:t>（三）教材建设与选用</w:t>
      </w:r>
      <w:r>
        <w:rPr>
          <w:rFonts w:hint="eastAsia" w:ascii="宋体" w:hAnsi="宋体" w:cs="宋体"/>
          <w:bCs/>
          <w:kern w:val="0"/>
          <w:sz w:val="24"/>
        </w:rPr>
        <w:tab/>
      </w:r>
      <w:r>
        <w:rPr>
          <w:rFonts w:hint="eastAsia" w:ascii="宋体" w:hAnsi="宋体" w:cs="宋体"/>
          <w:bCs/>
          <w:kern w:val="0"/>
          <w:sz w:val="24"/>
        </w:rPr>
        <w:t>1</w:t>
      </w:r>
      <w:r>
        <w:rPr>
          <w:rFonts w:hint="eastAsia" w:ascii="宋体" w:hAnsi="宋体" w:cs="宋体"/>
          <w:bCs/>
          <w:kern w:val="0"/>
          <w:sz w:val="24"/>
          <w:lang w:val="en-US" w:eastAsia="zh-CN"/>
        </w:rPr>
        <w:t>3</w:t>
      </w:r>
    </w:p>
    <w:p>
      <w:pPr>
        <w:tabs>
          <w:tab w:val="right" w:leader="dot" w:pos="9060"/>
        </w:tabs>
        <w:adjustRightInd w:val="0"/>
        <w:snapToGrid w:val="0"/>
        <w:spacing w:line="500" w:lineRule="exact"/>
        <w:ind w:firstLine="456" w:firstLineChars="200"/>
        <w:rPr>
          <w:rFonts w:hint="eastAsia" w:ascii="宋体" w:hAnsi="宋体" w:eastAsia="宋体" w:cs="宋体"/>
          <w:bCs/>
          <w:kern w:val="0"/>
          <w:sz w:val="24"/>
          <w:lang w:eastAsia="zh-CN"/>
        </w:rPr>
      </w:pPr>
      <w:r>
        <w:rPr>
          <w:rFonts w:hint="eastAsia" w:ascii="宋体" w:hAnsi="宋体" w:cs="宋体"/>
          <w:bCs/>
          <w:kern w:val="0"/>
          <w:sz w:val="24"/>
        </w:rPr>
        <w:t>（四）强化毕业设计（论文）过程管理</w:t>
      </w:r>
      <w:r>
        <w:rPr>
          <w:rFonts w:hint="eastAsia" w:ascii="宋体" w:hAnsi="宋体" w:cs="宋体"/>
          <w:bCs/>
          <w:kern w:val="0"/>
          <w:sz w:val="24"/>
        </w:rPr>
        <w:tab/>
      </w:r>
      <w:r>
        <w:rPr>
          <w:rFonts w:hint="eastAsia" w:ascii="宋体" w:hAnsi="宋体" w:cs="宋体"/>
          <w:bCs/>
          <w:kern w:val="0"/>
          <w:sz w:val="24"/>
        </w:rPr>
        <w:t>1</w:t>
      </w:r>
      <w:r>
        <w:rPr>
          <w:rFonts w:hint="eastAsia" w:ascii="宋体" w:hAnsi="宋体" w:cs="宋体"/>
          <w:bCs/>
          <w:kern w:val="0"/>
          <w:sz w:val="24"/>
          <w:lang w:val="en-US" w:eastAsia="zh-CN"/>
        </w:rPr>
        <w:t>4</w:t>
      </w:r>
    </w:p>
    <w:p>
      <w:pPr>
        <w:tabs>
          <w:tab w:val="right" w:leader="dot" w:pos="9060"/>
        </w:tabs>
        <w:adjustRightInd w:val="0"/>
        <w:snapToGrid w:val="0"/>
        <w:spacing w:line="500" w:lineRule="exact"/>
        <w:ind w:firstLine="456" w:firstLineChars="200"/>
        <w:rPr>
          <w:rFonts w:ascii="宋体" w:hAnsi="宋体" w:cs="宋体"/>
          <w:bCs/>
          <w:kern w:val="0"/>
          <w:sz w:val="24"/>
        </w:rPr>
      </w:pPr>
      <w:r>
        <w:rPr>
          <w:rFonts w:hint="eastAsia" w:ascii="宋体" w:hAnsi="宋体" w:cs="宋体"/>
          <w:bCs/>
          <w:kern w:val="0"/>
          <w:sz w:val="24"/>
        </w:rPr>
        <w:t>（五）创新创业教育</w:t>
      </w:r>
      <w:r>
        <w:rPr>
          <w:rFonts w:hint="eastAsia" w:ascii="宋体" w:hAnsi="宋体" w:cs="宋体"/>
          <w:bCs/>
          <w:kern w:val="0"/>
          <w:sz w:val="24"/>
        </w:rPr>
        <w:tab/>
      </w:r>
      <w:r>
        <w:rPr>
          <w:rFonts w:hint="eastAsia" w:ascii="宋体" w:hAnsi="宋体" w:cs="宋体"/>
          <w:bCs/>
          <w:kern w:val="0"/>
          <w:sz w:val="24"/>
        </w:rPr>
        <w:t>14</w:t>
      </w:r>
    </w:p>
    <w:p>
      <w:pPr>
        <w:tabs>
          <w:tab w:val="right" w:leader="dot" w:pos="9060"/>
        </w:tabs>
        <w:adjustRightInd w:val="0"/>
        <w:snapToGrid w:val="0"/>
        <w:spacing w:line="500" w:lineRule="exact"/>
        <w:ind w:firstLine="456" w:firstLineChars="200"/>
        <w:rPr>
          <w:rFonts w:ascii="宋体" w:hAnsi="宋体" w:cs="宋体"/>
          <w:bCs/>
          <w:kern w:val="0"/>
          <w:sz w:val="24"/>
        </w:rPr>
      </w:pPr>
      <w:r>
        <w:rPr>
          <w:rFonts w:hint="eastAsia" w:ascii="宋体" w:hAnsi="宋体" w:cs="宋体"/>
          <w:bCs/>
          <w:kern w:val="0"/>
          <w:sz w:val="24"/>
        </w:rPr>
        <w:t>（六）教育国际化</w:t>
      </w:r>
      <w:r>
        <w:rPr>
          <w:rFonts w:hint="eastAsia" w:ascii="宋体" w:hAnsi="宋体" w:cs="宋体"/>
          <w:bCs/>
          <w:kern w:val="0"/>
          <w:sz w:val="24"/>
        </w:rPr>
        <w:tab/>
      </w:r>
      <w:r>
        <w:rPr>
          <w:rFonts w:hint="eastAsia" w:ascii="宋体" w:hAnsi="宋体" w:cs="宋体"/>
          <w:bCs/>
          <w:kern w:val="0"/>
          <w:sz w:val="24"/>
        </w:rPr>
        <w:t>15</w:t>
      </w:r>
    </w:p>
    <w:p>
      <w:pPr>
        <w:tabs>
          <w:tab w:val="right" w:leader="dot" w:pos="9060"/>
        </w:tabs>
        <w:adjustRightInd w:val="0"/>
        <w:snapToGrid w:val="0"/>
        <w:spacing w:line="500" w:lineRule="exact"/>
        <w:rPr>
          <w:rFonts w:ascii="宋体" w:hAnsi="宋体" w:cs="宋体"/>
          <w:bCs/>
          <w:kern w:val="0"/>
          <w:sz w:val="24"/>
        </w:rPr>
      </w:pPr>
      <w:r>
        <w:rPr>
          <w:rFonts w:hint="eastAsia" w:ascii="黑体" w:hAnsi="黑体" w:eastAsia="黑体" w:cs="黑体"/>
          <w:bCs/>
          <w:kern w:val="0"/>
          <w:sz w:val="24"/>
        </w:rPr>
        <w:t>四、专业培养能力</w:t>
      </w:r>
      <w:r>
        <w:rPr>
          <w:rFonts w:hint="eastAsia" w:ascii="宋体" w:hAnsi="宋体" w:cs="宋体"/>
          <w:bCs/>
          <w:kern w:val="0"/>
          <w:sz w:val="24"/>
        </w:rPr>
        <w:tab/>
      </w:r>
      <w:r>
        <w:rPr>
          <w:rFonts w:hint="eastAsia" w:ascii="宋体" w:hAnsi="宋体" w:cs="宋体"/>
          <w:bCs/>
          <w:kern w:val="0"/>
          <w:sz w:val="24"/>
        </w:rPr>
        <w:t>15</w:t>
      </w:r>
    </w:p>
    <w:p>
      <w:pPr>
        <w:tabs>
          <w:tab w:val="right" w:leader="dot" w:pos="9060"/>
        </w:tabs>
        <w:adjustRightInd w:val="0"/>
        <w:snapToGrid w:val="0"/>
        <w:spacing w:line="500" w:lineRule="exact"/>
        <w:ind w:firstLine="456" w:firstLineChars="200"/>
        <w:rPr>
          <w:rFonts w:ascii="宋体" w:hAnsi="宋体" w:cs="宋体"/>
          <w:bCs/>
          <w:kern w:val="0"/>
          <w:sz w:val="24"/>
        </w:rPr>
      </w:pPr>
      <w:r>
        <w:rPr>
          <w:rFonts w:hint="eastAsia" w:ascii="宋体" w:hAnsi="宋体" w:cs="宋体"/>
          <w:bCs/>
          <w:kern w:val="0"/>
          <w:sz w:val="24"/>
        </w:rPr>
        <w:t>（一）专业培养目标</w:t>
      </w:r>
      <w:r>
        <w:rPr>
          <w:rFonts w:hint="eastAsia" w:ascii="宋体" w:hAnsi="宋体" w:cs="宋体"/>
          <w:bCs/>
          <w:kern w:val="0"/>
          <w:sz w:val="24"/>
        </w:rPr>
        <w:tab/>
      </w:r>
      <w:r>
        <w:rPr>
          <w:rFonts w:hint="eastAsia" w:ascii="宋体" w:hAnsi="宋体" w:cs="宋体"/>
          <w:bCs/>
          <w:kern w:val="0"/>
          <w:sz w:val="24"/>
        </w:rPr>
        <w:t>15</w:t>
      </w:r>
    </w:p>
    <w:p>
      <w:pPr>
        <w:tabs>
          <w:tab w:val="right" w:leader="dot" w:pos="9060"/>
        </w:tabs>
        <w:adjustRightInd w:val="0"/>
        <w:snapToGrid w:val="0"/>
        <w:spacing w:line="500" w:lineRule="exact"/>
        <w:ind w:firstLine="456" w:firstLineChars="200"/>
        <w:rPr>
          <w:rFonts w:ascii="宋体" w:hAnsi="宋体" w:cs="宋体"/>
          <w:bCs/>
          <w:kern w:val="0"/>
          <w:sz w:val="24"/>
        </w:rPr>
      </w:pPr>
      <w:r>
        <w:rPr>
          <w:rFonts w:hint="eastAsia" w:ascii="宋体" w:hAnsi="宋体" w:cs="宋体"/>
          <w:bCs/>
          <w:kern w:val="0"/>
          <w:sz w:val="24"/>
        </w:rPr>
        <w:t>（二）专业人才培养方案特点</w:t>
      </w:r>
      <w:r>
        <w:rPr>
          <w:rFonts w:hint="eastAsia" w:ascii="宋体" w:hAnsi="宋体" w:cs="宋体"/>
          <w:bCs/>
          <w:kern w:val="0"/>
          <w:sz w:val="24"/>
        </w:rPr>
        <w:tab/>
      </w:r>
      <w:r>
        <w:rPr>
          <w:rFonts w:hint="eastAsia" w:ascii="宋体" w:hAnsi="宋体" w:cs="宋体"/>
          <w:bCs/>
          <w:kern w:val="0"/>
          <w:sz w:val="24"/>
        </w:rPr>
        <w:t>16</w:t>
      </w:r>
    </w:p>
    <w:p>
      <w:pPr>
        <w:tabs>
          <w:tab w:val="right" w:leader="dot" w:pos="9060"/>
        </w:tabs>
        <w:adjustRightInd w:val="0"/>
        <w:snapToGrid w:val="0"/>
        <w:spacing w:line="500" w:lineRule="exact"/>
        <w:ind w:firstLine="456" w:firstLineChars="200"/>
        <w:rPr>
          <w:rFonts w:ascii="宋体" w:hAnsi="宋体" w:cs="宋体"/>
          <w:bCs/>
          <w:kern w:val="0"/>
          <w:sz w:val="24"/>
        </w:rPr>
      </w:pPr>
      <w:r>
        <w:rPr>
          <w:rFonts w:hint="eastAsia" w:ascii="宋体" w:hAnsi="宋体" w:cs="宋体"/>
          <w:bCs/>
          <w:kern w:val="0"/>
          <w:sz w:val="24"/>
        </w:rPr>
        <w:t>（三）完善“大实践”教学体系</w:t>
      </w:r>
      <w:r>
        <w:rPr>
          <w:rFonts w:hint="eastAsia" w:ascii="宋体" w:hAnsi="宋体" w:cs="宋体"/>
          <w:bCs/>
          <w:kern w:val="0"/>
          <w:sz w:val="24"/>
        </w:rPr>
        <w:tab/>
      </w:r>
      <w:r>
        <w:rPr>
          <w:rFonts w:hint="eastAsia" w:ascii="宋体" w:hAnsi="宋体" w:cs="宋体"/>
          <w:bCs/>
          <w:kern w:val="0"/>
          <w:sz w:val="24"/>
        </w:rPr>
        <w:t>16</w:t>
      </w:r>
    </w:p>
    <w:p>
      <w:pPr>
        <w:tabs>
          <w:tab w:val="right" w:leader="dot" w:pos="9060"/>
        </w:tabs>
        <w:adjustRightInd w:val="0"/>
        <w:snapToGrid w:val="0"/>
        <w:spacing w:line="500" w:lineRule="exact"/>
        <w:ind w:firstLine="456" w:firstLineChars="200"/>
        <w:rPr>
          <w:rFonts w:ascii="宋体" w:hAnsi="宋体" w:cs="宋体"/>
          <w:bCs/>
          <w:kern w:val="0"/>
          <w:sz w:val="24"/>
        </w:rPr>
      </w:pPr>
    </w:p>
    <w:p>
      <w:pPr>
        <w:tabs>
          <w:tab w:val="right" w:leader="dot" w:pos="9060"/>
        </w:tabs>
        <w:adjustRightInd w:val="0"/>
        <w:snapToGrid w:val="0"/>
        <w:spacing w:line="500" w:lineRule="exact"/>
        <w:ind w:firstLine="456" w:firstLineChars="200"/>
        <w:rPr>
          <w:rFonts w:ascii="宋体" w:hAnsi="宋体" w:cs="宋体"/>
          <w:bCs/>
          <w:kern w:val="0"/>
          <w:sz w:val="24"/>
        </w:rPr>
      </w:pPr>
      <w:r>
        <w:rPr>
          <w:rFonts w:hint="eastAsia" w:ascii="宋体" w:hAnsi="宋体" w:cs="宋体"/>
          <w:bCs/>
          <w:kern w:val="0"/>
          <w:sz w:val="24"/>
        </w:rPr>
        <w:t>（四）学风建设</w:t>
      </w:r>
      <w:r>
        <w:rPr>
          <w:rFonts w:hint="eastAsia" w:ascii="宋体" w:hAnsi="宋体" w:cs="宋体"/>
          <w:bCs/>
          <w:kern w:val="0"/>
          <w:sz w:val="24"/>
        </w:rPr>
        <w:tab/>
      </w:r>
      <w:r>
        <w:rPr>
          <w:rFonts w:hint="eastAsia" w:ascii="宋体" w:hAnsi="宋体" w:cs="宋体"/>
          <w:bCs/>
          <w:kern w:val="0"/>
          <w:sz w:val="24"/>
        </w:rPr>
        <w:t>17</w:t>
      </w:r>
    </w:p>
    <w:p>
      <w:pPr>
        <w:tabs>
          <w:tab w:val="right" w:leader="dot" w:pos="9060"/>
        </w:tabs>
        <w:adjustRightInd w:val="0"/>
        <w:snapToGrid w:val="0"/>
        <w:spacing w:line="500" w:lineRule="exact"/>
        <w:ind w:firstLine="456" w:firstLineChars="200"/>
        <w:rPr>
          <w:rFonts w:ascii="宋体" w:hAnsi="宋体" w:cs="宋体"/>
          <w:bCs/>
          <w:kern w:val="0"/>
          <w:sz w:val="24"/>
        </w:rPr>
      </w:pPr>
      <w:r>
        <w:rPr>
          <w:rFonts w:hint="eastAsia" w:ascii="宋体" w:hAnsi="宋体" w:cs="宋体"/>
          <w:bCs/>
          <w:kern w:val="0"/>
          <w:sz w:val="24"/>
        </w:rPr>
        <w:t>（五）扩大学生自主选择权</w:t>
      </w:r>
      <w:r>
        <w:rPr>
          <w:rFonts w:hint="eastAsia" w:ascii="宋体" w:hAnsi="宋体" w:cs="宋体"/>
          <w:bCs/>
          <w:kern w:val="0"/>
          <w:sz w:val="24"/>
        </w:rPr>
        <w:tab/>
      </w:r>
      <w:r>
        <w:rPr>
          <w:rFonts w:hint="eastAsia" w:ascii="宋体" w:hAnsi="宋体" w:cs="宋体"/>
          <w:bCs/>
          <w:kern w:val="0"/>
          <w:sz w:val="24"/>
        </w:rPr>
        <w:t>17</w:t>
      </w:r>
    </w:p>
    <w:p>
      <w:pPr>
        <w:tabs>
          <w:tab w:val="right" w:leader="dot" w:pos="9060"/>
        </w:tabs>
        <w:adjustRightInd w:val="0"/>
        <w:snapToGrid w:val="0"/>
        <w:spacing w:line="500" w:lineRule="exact"/>
        <w:rPr>
          <w:rFonts w:ascii="宋体" w:hAnsi="宋体" w:cs="宋体"/>
          <w:bCs/>
          <w:kern w:val="0"/>
          <w:sz w:val="24"/>
        </w:rPr>
      </w:pPr>
      <w:r>
        <w:rPr>
          <w:rFonts w:hint="eastAsia" w:ascii="黑体" w:hAnsi="黑体" w:eastAsia="黑体" w:cs="黑体"/>
          <w:bCs/>
          <w:kern w:val="0"/>
          <w:sz w:val="24"/>
        </w:rPr>
        <w:t>五、质量保障体系</w:t>
      </w:r>
      <w:r>
        <w:rPr>
          <w:rFonts w:hint="eastAsia" w:ascii="宋体" w:hAnsi="宋体" w:cs="宋体"/>
          <w:bCs/>
          <w:kern w:val="0"/>
          <w:sz w:val="24"/>
        </w:rPr>
        <w:tab/>
      </w:r>
      <w:r>
        <w:rPr>
          <w:rFonts w:hint="eastAsia" w:ascii="宋体" w:hAnsi="宋体" w:cs="宋体"/>
          <w:bCs/>
          <w:kern w:val="0"/>
          <w:sz w:val="24"/>
        </w:rPr>
        <w:t>18</w:t>
      </w:r>
    </w:p>
    <w:p>
      <w:pPr>
        <w:tabs>
          <w:tab w:val="right" w:leader="dot" w:pos="9060"/>
        </w:tabs>
        <w:adjustRightInd w:val="0"/>
        <w:snapToGrid w:val="0"/>
        <w:spacing w:line="500" w:lineRule="exact"/>
        <w:ind w:firstLine="456" w:firstLineChars="200"/>
        <w:rPr>
          <w:rFonts w:ascii="宋体" w:hAnsi="宋体" w:cs="宋体"/>
          <w:bCs/>
          <w:kern w:val="0"/>
          <w:sz w:val="24"/>
        </w:rPr>
      </w:pPr>
      <w:r>
        <w:rPr>
          <w:rFonts w:hint="eastAsia" w:ascii="宋体" w:hAnsi="宋体" w:cs="宋体"/>
          <w:bCs/>
          <w:kern w:val="0"/>
          <w:sz w:val="24"/>
        </w:rPr>
        <w:t>（一）落实人才培养中心地位</w:t>
      </w:r>
      <w:r>
        <w:rPr>
          <w:rFonts w:hint="eastAsia" w:ascii="宋体" w:hAnsi="宋体" w:cs="宋体"/>
          <w:bCs/>
          <w:kern w:val="0"/>
          <w:sz w:val="24"/>
        </w:rPr>
        <w:tab/>
      </w:r>
      <w:r>
        <w:rPr>
          <w:rFonts w:hint="eastAsia" w:ascii="宋体" w:hAnsi="宋体" w:cs="宋体"/>
          <w:bCs/>
          <w:kern w:val="0"/>
          <w:sz w:val="24"/>
        </w:rPr>
        <w:t>18</w:t>
      </w:r>
    </w:p>
    <w:p>
      <w:pPr>
        <w:tabs>
          <w:tab w:val="right" w:leader="dot" w:pos="9060"/>
        </w:tabs>
        <w:adjustRightInd w:val="0"/>
        <w:snapToGrid w:val="0"/>
        <w:spacing w:line="500" w:lineRule="exact"/>
        <w:ind w:firstLine="456" w:firstLineChars="200"/>
        <w:rPr>
          <w:rFonts w:ascii="宋体" w:hAnsi="宋体" w:cs="宋体"/>
          <w:bCs/>
          <w:kern w:val="0"/>
          <w:sz w:val="24"/>
        </w:rPr>
      </w:pPr>
      <w:r>
        <w:rPr>
          <w:rFonts w:hint="eastAsia" w:ascii="宋体" w:hAnsi="宋体" w:cs="宋体"/>
          <w:bCs/>
          <w:kern w:val="0"/>
          <w:sz w:val="24"/>
        </w:rPr>
        <w:t>（二）强化教学过程质量监控</w:t>
      </w:r>
      <w:r>
        <w:rPr>
          <w:rFonts w:hint="eastAsia" w:ascii="宋体" w:hAnsi="宋体" w:cs="宋体"/>
          <w:bCs/>
          <w:kern w:val="0"/>
          <w:sz w:val="24"/>
        </w:rPr>
        <w:tab/>
      </w:r>
      <w:r>
        <w:rPr>
          <w:rFonts w:hint="eastAsia" w:ascii="宋体" w:hAnsi="宋体" w:cs="宋体"/>
          <w:bCs/>
          <w:kern w:val="0"/>
          <w:sz w:val="24"/>
        </w:rPr>
        <w:t>18</w:t>
      </w:r>
    </w:p>
    <w:p>
      <w:pPr>
        <w:tabs>
          <w:tab w:val="right" w:leader="dot" w:pos="9060"/>
        </w:tabs>
        <w:adjustRightInd w:val="0"/>
        <w:snapToGrid w:val="0"/>
        <w:spacing w:line="500" w:lineRule="exact"/>
        <w:ind w:firstLine="456" w:firstLineChars="200"/>
        <w:rPr>
          <w:rFonts w:ascii="宋体" w:hAnsi="宋体" w:cs="宋体"/>
          <w:bCs/>
          <w:kern w:val="0"/>
          <w:sz w:val="24"/>
        </w:rPr>
      </w:pPr>
      <w:r>
        <w:rPr>
          <w:rFonts w:hint="eastAsia" w:ascii="宋体" w:hAnsi="宋体" w:cs="宋体"/>
          <w:bCs/>
          <w:kern w:val="0"/>
          <w:sz w:val="24"/>
        </w:rPr>
        <w:t>（三）促进教师教学能力发展</w:t>
      </w:r>
      <w:r>
        <w:rPr>
          <w:rFonts w:hint="eastAsia" w:ascii="宋体" w:hAnsi="宋体" w:cs="宋体"/>
          <w:bCs/>
          <w:kern w:val="0"/>
          <w:sz w:val="24"/>
        </w:rPr>
        <w:tab/>
      </w:r>
      <w:r>
        <w:rPr>
          <w:rFonts w:hint="eastAsia" w:ascii="宋体" w:hAnsi="宋体" w:cs="宋体"/>
          <w:bCs/>
          <w:kern w:val="0"/>
          <w:sz w:val="24"/>
        </w:rPr>
        <w:t>21</w:t>
      </w:r>
    </w:p>
    <w:p>
      <w:pPr>
        <w:tabs>
          <w:tab w:val="right" w:leader="dot" w:pos="9060"/>
        </w:tabs>
        <w:adjustRightInd w:val="0"/>
        <w:snapToGrid w:val="0"/>
        <w:spacing w:line="500" w:lineRule="exact"/>
        <w:ind w:firstLine="447" w:firstLineChars="196"/>
        <w:rPr>
          <w:rFonts w:ascii="宋体" w:hAnsi="宋体" w:cs="宋体"/>
          <w:bCs/>
          <w:kern w:val="0"/>
          <w:sz w:val="24"/>
        </w:rPr>
      </w:pPr>
      <w:r>
        <w:rPr>
          <w:rFonts w:hint="eastAsia" w:ascii="宋体" w:hAnsi="宋体" w:cs="宋体"/>
          <w:bCs/>
          <w:kern w:val="0"/>
          <w:sz w:val="24"/>
        </w:rPr>
        <w:t>（四）建立健全教学激励机制</w:t>
      </w:r>
      <w:r>
        <w:rPr>
          <w:rFonts w:hint="eastAsia" w:ascii="宋体" w:hAnsi="宋体" w:cs="宋体"/>
          <w:bCs/>
          <w:kern w:val="0"/>
          <w:sz w:val="24"/>
        </w:rPr>
        <w:tab/>
      </w:r>
      <w:r>
        <w:rPr>
          <w:rFonts w:hint="eastAsia" w:ascii="宋体" w:hAnsi="宋体" w:cs="宋体"/>
          <w:bCs/>
          <w:kern w:val="0"/>
          <w:sz w:val="24"/>
        </w:rPr>
        <w:t>22</w:t>
      </w:r>
    </w:p>
    <w:p>
      <w:pPr>
        <w:tabs>
          <w:tab w:val="right" w:leader="dot" w:pos="9060"/>
        </w:tabs>
        <w:adjustRightInd w:val="0"/>
        <w:snapToGrid w:val="0"/>
        <w:spacing w:line="500" w:lineRule="exact"/>
        <w:ind w:firstLine="456" w:firstLineChars="200"/>
        <w:rPr>
          <w:rFonts w:ascii="宋体" w:hAnsi="宋体" w:cs="宋体"/>
          <w:bCs/>
          <w:kern w:val="0"/>
          <w:sz w:val="24"/>
        </w:rPr>
      </w:pPr>
      <w:r>
        <w:rPr>
          <w:rFonts w:hint="eastAsia" w:ascii="宋体" w:hAnsi="宋体" w:cs="宋体"/>
          <w:bCs/>
          <w:kern w:val="0"/>
          <w:sz w:val="24"/>
        </w:rPr>
        <w:t>（五）推进专业认证</w:t>
      </w:r>
      <w:r>
        <w:rPr>
          <w:rFonts w:hint="eastAsia" w:ascii="宋体" w:hAnsi="宋体" w:cs="宋体"/>
          <w:bCs/>
          <w:kern w:val="0"/>
          <w:sz w:val="24"/>
        </w:rPr>
        <w:tab/>
      </w:r>
      <w:r>
        <w:rPr>
          <w:rFonts w:hint="eastAsia" w:ascii="宋体" w:hAnsi="宋体" w:cs="宋体"/>
          <w:bCs/>
          <w:kern w:val="0"/>
          <w:sz w:val="24"/>
        </w:rPr>
        <w:t>22</w:t>
      </w:r>
    </w:p>
    <w:p>
      <w:pPr>
        <w:tabs>
          <w:tab w:val="right" w:leader="dot" w:pos="9060"/>
        </w:tabs>
        <w:adjustRightInd w:val="0"/>
        <w:snapToGrid w:val="0"/>
        <w:spacing w:line="500" w:lineRule="exact"/>
        <w:rPr>
          <w:rFonts w:ascii="宋体" w:hAnsi="宋体" w:cs="宋体"/>
          <w:bCs/>
          <w:kern w:val="0"/>
          <w:sz w:val="24"/>
        </w:rPr>
      </w:pPr>
      <w:r>
        <w:rPr>
          <w:rFonts w:hint="eastAsia" w:ascii="黑体" w:hAnsi="黑体" w:eastAsia="黑体" w:cs="黑体"/>
          <w:bCs/>
          <w:kern w:val="0"/>
          <w:sz w:val="24"/>
        </w:rPr>
        <w:t>六、学生学习效果</w:t>
      </w:r>
      <w:r>
        <w:rPr>
          <w:rFonts w:hint="eastAsia" w:ascii="宋体" w:hAnsi="宋体" w:cs="宋体"/>
          <w:bCs/>
          <w:kern w:val="0"/>
          <w:sz w:val="24"/>
        </w:rPr>
        <w:tab/>
      </w:r>
      <w:r>
        <w:rPr>
          <w:rFonts w:hint="eastAsia" w:ascii="宋体" w:hAnsi="宋体" w:cs="宋体"/>
          <w:bCs/>
          <w:kern w:val="0"/>
          <w:sz w:val="24"/>
        </w:rPr>
        <w:t>22</w:t>
      </w:r>
    </w:p>
    <w:p>
      <w:pPr>
        <w:tabs>
          <w:tab w:val="right" w:leader="dot" w:pos="9060"/>
        </w:tabs>
        <w:adjustRightInd w:val="0"/>
        <w:snapToGrid w:val="0"/>
        <w:spacing w:line="500" w:lineRule="exact"/>
        <w:ind w:firstLine="456" w:firstLineChars="200"/>
        <w:rPr>
          <w:rFonts w:ascii="宋体" w:hAnsi="宋体" w:cs="宋体"/>
          <w:bCs/>
          <w:kern w:val="0"/>
          <w:sz w:val="24"/>
        </w:rPr>
      </w:pPr>
      <w:r>
        <w:rPr>
          <w:rFonts w:hint="eastAsia" w:ascii="宋体" w:hAnsi="宋体" w:cs="宋体"/>
          <w:bCs/>
          <w:kern w:val="0"/>
          <w:sz w:val="24"/>
        </w:rPr>
        <w:t>（一）在校生培养情况</w:t>
      </w:r>
      <w:r>
        <w:rPr>
          <w:rFonts w:hint="eastAsia" w:ascii="宋体" w:hAnsi="宋体" w:cs="宋体"/>
          <w:bCs/>
          <w:kern w:val="0"/>
          <w:sz w:val="24"/>
        </w:rPr>
        <w:tab/>
      </w:r>
      <w:r>
        <w:rPr>
          <w:rFonts w:hint="eastAsia" w:ascii="宋体" w:hAnsi="宋体" w:cs="宋体"/>
          <w:bCs/>
          <w:kern w:val="0"/>
          <w:sz w:val="24"/>
        </w:rPr>
        <w:t>22</w:t>
      </w:r>
    </w:p>
    <w:p>
      <w:pPr>
        <w:tabs>
          <w:tab w:val="right" w:leader="dot" w:pos="9060"/>
        </w:tabs>
        <w:adjustRightInd w:val="0"/>
        <w:snapToGrid w:val="0"/>
        <w:spacing w:line="500" w:lineRule="exact"/>
        <w:ind w:firstLine="456" w:firstLineChars="200"/>
        <w:rPr>
          <w:rFonts w:ascii="宋体" w:hAnsi="宋体" w:cs="宋体"/>
          <w:bCs/>
          <w:kern w:val="0"/>
          <w:sz w:val="24"/>
        </w:rPr>
      </w:pPr>
      <w:r>
        <w:rPr>
          <w:rFonts w:hint="eastAsia" w:ascii="宋体" w:hAnsi="宋体" w:cs="宋体"/>
          <w:bCs/>
          <w:kern w:val="0"/>
          <w:sz w:val="24"/>
        </w:rPr>
        <w:t>（二）毕业生基本情况</w:t>
      </w:r>
      <w:r>
        <w:rPr>
          <w:rFonts w:hint="eastAsia" w:ascii="宋体" w:hAnsi="宋体" w:cs="宋体"/>
          <w:bCs/>
          <w:kern w:val="0"/>
          <w:sz w:val="24"/>
        </w:rPr>
        <w:tab/>
      </w:r>
      <w:r>
        <w:rPr>
          <w:rFonts w:hint="eastAsia" w:ascii="宋体" w:hAnsi="宋体" w:cs="宋体"/>
          <w:bCs/>
          <w:kern w:val="0"/>
          <w:sz w:val="24"/>
        </w:rPr>
        <w:t>23</w:t>
      </w:r>
    </w:p>
    <w:p>
      <w:pPr>
        <w:tabs>
          <w:tab w:val="right" w:leader="dot" w:pos="9060"/>
        </w:tabs>
        <w:adjustRightInd w:val="0"/>
        <w:snapToGrid w:val="0"/>
        <w:spacing w:line="500" w:lineRule="exact"/>
        <w:ind w:firstLine="456" w:firstLineChars="200"/>
        <w:rPr>
          <w:rFonts w:ascii="宋体" w:hAnsi="宋体" w:cs="宋体"/>
          <w:bCs/>
          <w:kern w:val="0"/>
          <w:sz w:val="24"/>
        </w:rPr>
      </w:pPr>
      <w:r>
        <w:rPr>
          <w:rFonts w:hint="eastAsia" w:ascii="宋体" w:hAnsi="宋体" w:cs="宋体"/>
          <w:bCs/>
          <w:kern w:val="0"/>
          <w:sz w:val="24"/>
        </w:rPr>
        <w:t>（三）毕业生对母校的满意度</w:t>
      </w:r>
      <w:r>
        <w:rPr>
          <w:rFonts w:hint="eastAsia" w:ascii="宋体" w:hAnsi="宋体" w:cs="宋体"/>
          <w:bCs/>
          <w:kern w:val="0"/>
          <w:sz w:val="24"/>
        </w:rPr>
        <w:tab/>
      </w:r>
      <w:r>
        <w:rPr>
          <w:rFonts w:hint="eastAsia" w:ascii="宋体" w:hAnsi="宋体" w:cs="宋体"/>
          <w:bCs/>
          <w:kern w:val="0"/>
          <w:sz w:val="24"/>
        </w:rPr>
        <w:t>24</w:t>
      </w:r>
    </w:p>
    <w:p>
      <w:pPr>
        <w:tabs>
          <w:tab w:val="right" w:leader="dot" w:pos="9060"/>
        </w:tabs>
        <w:adjustRightInd w:val="0"/>
        <w:snapToGrid w:val="0"/>
        <w:spacing w:line="500" w:lineRule="exact"/>
        <w:ind w:firstLine="456" w:firstLineChars="200"/>
        <w:rPr>
          <w:rFonts w:ascii="宋体" w:hAnsi="宋体" w:cs="宋体"/>
          <w:bCs/>
          <w:kern w:val="0"/>
          <w:sz w:val="24"/>
        </w:rPr>
      </w:pPr>
      <w:r>
        <w:rPr>
          <w:rFonts w:hint="eastAsia" w:ascii="宋体" w:hAnsi="宋体" w:cs="宋体"/>
          <w:bCs/>
          <w:kern w:val="0"/>
          <w:sz w:val="24"/>
        </w:rPr>
        <w:t>（四）用人单位对毕业生的评价</w:t>
      </w:r>
      <w:r>
        <w:rPr>
          <w:rFonts w:hint="eastAsia" w:ascii="宋体" w:hAnsi="宋体" w:cs="宋体"/>
          <w:bCs/>
          <w:kern w:val="0"/>
          <w:sz w:val="24"/>
        </w:rPr>
        <w:tab/>
      </w:r>
      <w:r>
        <w:rPr>
          <w:rFonts w:hint="eastAsia" w:ascii="宋体" w:hAnsi="宋体" w:cs="宋体"/>
          <w:bCs/>
          <w:kern w:val="0"/>
          <w:sz w:val="24"/>
        </w:rPr>
        <w:t>25</w:t>
      </w:r>
    </w:p>
    <w:p>
      <w:pPr>
        <w:tabs>
          <w:tab w:val="right" w:leader="dot" w:pos="9060"/>
        </w:tabs>
        <w:adjustRightInd w:val="0"/>
        <w:snapToGrid w:val="0"/>
        <w:spacing w:line="500" w:lineRule="exact"/>
        <w:rPr>
          <w:rFonts w:ascii="宋体" w:hAnsi="宋体" w:cs="宋体"/>
          <w:bCs/>
          <w:kern w:val="0"/>
          <w:sz w:val="24"/>
        </w:rPr>
      </w:pPr>
      <w:r>
        <w:rPr>
          <w:rFonts w:hint="eastAsia" w:ascii="黑体" w:hAnsi="黑体" w:eastAsia="黑体" w:cs="黑体"/>
          <w:bCs/>
          <w:kern w:val="0"/>
          <w:sz w:val="24"/>
        </w:rPr>
        <w:t>七、特色发展</w:t>
      </w:r>
      <w:r>
        <w:rPr>
          <w:rFonts w:hint="eastAsia" w:ascii="宋体" w:hAnsi="宋体" w:cs="宋体"/>
          <w:bCs/>
          <w:kern w:val="0"/>
          <w:sz w:val="24"/>
        </w:rPr>
        <w:tab/>
      </w:r>
      <w:r>
        <w:rPr>
          <w:rFonts w:hint="eastAsia" w:ascii="宋体" w:hAnsi="宋体" w:cs="宋体"/>
          <w:bCs/>
          <w:kern w:val="0"/>
          <w:sz w:val="24"/>
        </w:rPr>
        <w:t>25</w:t>
      </w:r>
    </w:p>
    <w:p>
      <w:pPr>
        <w:tabs>
          <w:tab w:val="right" w:leader="dot" w:pos="9060"/>
        </w:tabs>
        <w:adjustRightInd w:val="0"/>
        <w:snapToGrid w:val="0"/>
        <w:spacing w:line="500" w:lineRule="exact"/>
        <w:ind w:firstLine="456" w:firstLineChars="200"/>
        <w:rPr>
          <w:rFonts w:ascii="宋体" w:hAnsi="宋体" w:cs="宋体"/>
          <w:bCs/>
          <w:kern w:val="0"/>
          <w:sz w:val="24"/>
        </w:rPr>
      </w:pPr>
      <w:r>
        <w:rPr>
          <w:rFonts w:hint="eastAsia" w:ascii="宋体" w:hAnsi="宋体" w:cs="宋体"/>
          <w:bCs/>
          <w:kern w:val="0"/>
          <w:sz w:val="24"/>
        </w:rPr>
        <w:t>（一）推进中华优秀传统文化进校园，构建文化引领育人的思政大格局</w:t>
      </w:r>
      <w:r>
        <w:rPr>
          <w:rFonts w:hint="eastAsia" w:ascii="宋体" w:hAnsi="宋体" w:cs="宋体"/>
          <w:bCs/>
          <w:kern w:val="0"/>
          <w:sz w:val="24"/>
        </w:rPr>
        <w:tab/>
      </w:r>
      <w:r>
        <w:rPr>
          <w:rFonts w:hint="eastAsia" w:ascii="宋体" w:hAnsi="宋体" w:cs="宋体"/>
          <w:bCs/>
          <w:kern w:val="0"/>
          <w:sz w:val="24"/>
        </w:rPr>
        <w:t>25</w:t>
      </w:r>
    </w:p>
    <w:p>
      <w:pPr>
        <w:tabs>
          <w:tab w:val="right" w:leader="dot" w:pos="9060"/>
        </w:tabs>
        <w:adjustRightInd w:val="0"/>
        <w:snapToGrid w:val="0"/>
        <w:spacing w:line="500" w:lineRule="exact"/>
        <w:ind w:firstLine="456" w:firstLineChars="200"/>
        <w:rPr>
          <w:rFonts w:ascii="宋体" w:hAnsi="宋体" w:cs="宋体"/>
          <w:bCs/>
          <w:kern w:val="0"/>
          <w:sz w:val="24"/>
        </w:rPr>
      </w:pPr>
      <w:r>
        <w:rPr>
          <w:rFonts w:hint="eastAsia" w:ascii="宋体" w:hAnsi="宋体" w:cs="宋体"/>
          <w:bCs/>
          <w:kern w:val="0"/>
          <w:sz w:val="24"/>
        </w:rPr>
        <w:t>（二）深化君子文化建设，激发文化思政教育活力</w:t>
      </w:r>
      <w:r>
        <w:rPr>
          <w:rFonts w:hint="eastAsia" w:ascii="宋体" w:hAnsi="宋体" w:cs="宋体"/>
          <w:bCs/>
          <w:kern w:val="0"/>
          <w:sz w:val="24"/>
        </w:rPr>
        <w:tab/>
      </w:r>
      <w:r>
        <w:rPr>
          <w:rFonts w:hint="eastAsia" w:ascii="宋体" w:hAnsi="宋体" w:cs="宋体"/>
          <w:bCs/>
          <w:kern w:val="0"/>
          <w:sz w:val="24"/>
        </w:rPr>
        <w:t>26</w:t>
      </w:r>
    </w:p>
    <w:p>
      <w:pPr>
        <w:tabs>
          <w:tab w:val="right" w:leader="dot" w:pos="9060"/>
        </w:tabs>
        <w:adjustRightInd w:val="0"/>
        <w:snapToGrid w:val="0"/>
        <w:spacing w:line="500" w:lineRule="exact"/>
        <w:rPr>
          <w:rFonts w:ascii="宋体" w:hAnsi="宋体" w:cs="宋体"/>
          <w:bCs/>
          <w:kern w:val="0"/>
          <w:sz w:val="24"/>
        </w:rPr>
      </w:pPr>
      <w:r>
        <w:rPr>
          <w:rFonts w:hint="eastAsia" w:ascii="黑体" w:hAnsi="黑体" w:eastAsia="黑体" w:cs="黑体"/>
          <w:bCs/>
          <w:kern w:val="0"/>
          <w:sz w:val="24"/>
        </w:rPr>
        <w:t>八、问题与对策</w:t>
      </w:r>
      <w:r>
        <w:rPr>
          <w:rFonts w:hint="eastAsia" w:ascii="宋体" w:hAnsi="宋体" w:cs="宋体"/>
          <w:bCs/>
          <w:kern w:val="0"/>
          <w:sz w:val="24"/>
        </w:rPr>
        <w:tab/>
      </w:r>
      <w:r>
        <w:rPr>
          <w:rFonts w:hint="eastAsia" w:ascii="宋体" w:hAnsi="宋体" w:cs="宋体"/>
          <w:bCs/>
          <w:kern w:val="0"/>
          <w:sz w:val="24"/>
        </w:rPr>
        <w:t>26</w:t>
      </w:r>
    </w:p>
    <w:p>
      <w:pPr>
        <w:tabs>
          <w:tab w:val="right" w:leader="dot" w:pos="9060"/>
        </w:tabs>
        <w:adjustRightInd w:val="0"/>
        <w:snapToGrid w:val="0"/>
        <w:spacing w:line="500" w:lineRule="exact"/>
        <w:ind w:firstLine="456" w:firstLineChars="200"/>
        <w:rPr>
          <w:rFonts w:ascii="宋体" w:hAnsi="宋体" w:cs="宋体"/>
          <w:bCs/>
          <w:kern w:val="0"/>
          <w:sz w:val="24"/>
        </w:rPr>
      </w:pPr>
      <w:r>
        <w:rPr>
          <w:rFonts w:hint="eastAsia" w:ascii="宋体" w:hAnsi="宋体" w:cs="宋体"/>
          <w:bCs/>
          <w:kern w:val="0"/>
          <w:sz w:val="24"/>
        </w:rPr>
        <w:t>（一）创新创业教育有待于进一步加强</w:t>
      </w:r>
      <w:r>
        <w:rPr>
          <w:rFonts w:hint="eastAsia" w:ascii="宋体" w:hAnsi="宋体" w:cs="宋体"/>
          <w:bCs/>
          <w:kern w:val="0"/>
          <w:sz w:val="24"/>
        </w:rPr>
        <w:tab/>
      </w:r>
      <w:r>
        <w:rPr>
          <w:rFonts w:hint="eastAsia" w:ascii="宋体" w:hAnsi="宋体" w:cs="宋体"/>
          <w:bCs/>
          <w:kern w:val="0"/>
          <w:sz w:val="24"/>
        </w:rPr>
        <w:t>26</w:t>
      </w:r>
    </w:p>
    <w:p>
      <w:pPr>
        <w:tabs>
          <w:tab w:val="right" w:leader="dot" w:pos="9060"/>
        </w:tabs>
        <w:adjustRightInd w:val="0"/>
        <w:snapToGrid w:val="0"/>
        <w:spacing w:line="500" w:lineRule="exact"/>
        <w:ind w:firstLine="456" w:firstLineChars="200"/>
        <w:rPr>
          <w:rFonts w:ascii="宋体" w:hAnsi="宋体" w:cs="宋体"/>
          <w:bCs/>
          <w:kern w:val="0"/>
          <w:sz w:val="24"/>
        </w:rPr>
      </w:pPr>
      <w:r>
        <w:rPr>
          <w:rFonts w:hint="eastAsia" w:ascii="宋体" w:hAnsi="宋体" w:cs="宋体"/>
          <w:bCs/>
          <w:kern w:val="0"/>
          <w:sz w:val="24"/>
        </w:rPr>
        <w:t>（二）产教融合深度有待于进一步优化</w:t>
      </w:r>
      <w:r>
        <w:rPr>
          <w:rFonts w:hint="eastAsia" w:ascii="宋体" w:hAnsi="宋体" w:cs="宋体"/>
          <w:bCs/>
          <w:kern w:val="0"/>
          <w:sz w:val="24"/>
        </w:rPr>
        <w:tab/>
      </w:r>
      <w:r>
        <w:rPr>
          <w:rFonts w:hint="eastAsia" w:ascii="宋体" w:hAnsi="宋体" w:cs="宋体"/>
          <w:bCs/>
          <w:kern w:val="0"/>
          <w:sz w:val="24"/>
        </w:rPr>
        <w:t>26</w:t>
      </w:r>
    </w:p>
    <w:p>
      <w:pPr>
        <w:tabs>
          <w:tab w:val="right" w:leader="dot" w:pos="9060"/>
        </w:tabs>
        <w:adjustRightInd w:val="0"/>
        <w:snapToGrid w:val="0"/>
        <w:spacing w:line="500" w:lineRule="exact"/>
        <w:ind w:firstLine="456" w:firstLineChars="200"/>
        <w:rPr>
          <w:rFonts w:ascii="宋体" w:hAnsi="宋体" w:cs="宋体"/>
          <w:bCs/>
          <w:kern w:val="0"/>
          <w:sz w:val="24"/>
        </w:rPr>
      </w:pPr>
      <w:r>
        <w:rPr>
          <w:rFonts w:hint="eastAsia" w:ascii="宋体" w:hAnsi="宋体" w:cs="宋体"/>
          <w:bCs/>
          <w:kern w:val="0"/>
          <w:sz w:val="24"/>
        </w:rPr>
        <w:t>（三）实践教学质量有待于进一步提升</w:t>
      </w:r>
      <w:r>
        <w:rPr>
          <w:rFonts w:hint="eastAsia" w:ascii="宋体" w:hAnsi="宋体" w:cs="宋体"/>
          <w:bCs/>
          <w:kern w:val="0"/>
          <w:sz w:val="24"/>
        </w:rPr>
        <w:tab/>
      </w:r>
      <w:r>
        <w:rPr>
          <w:rFonts w:hint="eastAsia" w:ascii="宋体" w:hAnsi="宋体" w:cs="宋体"/>
          <w:bCs/>
          <w:kern w:val="0"/>
          <w:sz w:val="24"/>
        </w:rPr>
        <w:t>26</w:t>
      </w:r>
    </w:p>
    <w:p>
      <w:pPr>
        <w:adjustRightInd w:val="0"/>
        <w:snapToGrid w:val="0"/>
        <w:spacing w:line="400" w:lineRule="exact"/>
        <w:rPr>
          <w:rFonts w:ascii="宋体" w:hAnsi="宋体" w:cs="宋体"/>
          <w:bCs/>
          <w:spacing w:val="20"/>
          <w:w w:val="90"/>
          <w:kern w:val="0"/>
          <w:sz w:val="24"/>
        </w:rPr>
        <w:sectPr>
          <w:headerReference r:id="rId3" w:type="default"/>
          <w:footerReference r:id="rId4" w:type="default"/>
          <w:pgSz w:w="11906" w:h="16838"/>
          <w:pgMar w:top="1417" w:right="1417" w:bottom="1701" w:left="1417" w:header="680" w:footer="1020" w:gutter="0"/>
          <w:pgNumType w:start="1"/>
          <w:cols w:space="0" w:num="1"/>
          <w:docGrid w:type="linesAndChars" w:linePitch="292" w:charSpace="-2662"/>
        </w:sectPr>
      </w:pPr>
    </w:p>
    <w:p>
      <w:pPr>
        <w:adjustRightInd w:val="0"/>
        <w:snapToGrid w:val="0"/>
        <w:spacing w:line="400" w:lineRule="exact"/>
        <w:rPr>
          <w:rFonts w:ascii="宋体" w:hAnsi="宋体" w:cs="宋体"/>
          <w:kern w:val="0"/>
          <w:sz w:val="24"/>
        </w:rPr>
      </w:pPr>
    </w:p>
    <w:p>
      <w:pPr>
        <w:adjustRightInd w:val="0"/>
        <w:snapToGrid w:val="0"/>
        <w:jc w:val="center"/>
        <w:rPr>
          <w:rFonts w:ascii="黑体" w:hAnsi="黑体" w:eastAsia="黑体" w:cs="黑体"/>
          <w:b/>
          <w:bCs/>
          <w:kern w:val="0"/>
          <w:sz w:val="36"/>
          <w:szCs w:val="36"/>
        </w:rPr>
      </w:pPr>
      <w:r>
        <w:rPr>
          <w:rFonts w:hint="eastAsia" w:ascii="黑体" w:hAnsi="黑体" w:eastAsia="黑体" w:cs="黑体"/>
          <w:b/>
          <w:bCs/>
          <w:kern w:val="0"/>
          <w:sz w:val="36"/>
          <w:szCs w:val="36"/>
        </w:rPr>
        <w:t>湖州师范学院2020-2021学年本科教学质量报告</w:t>
      </w:r>
    </w:p>
    <w:p>
      <w:pPr>
        <w:spacing w:line="400" w:lineRule="exact"/>
        <w:ind w:firstLine="456" w:firstLineChars="200"/>
        <w:rPr>
          <w:rFonts w:ascii="宋体" w:hAnsi="宋体" w:cs="宋体"/>
          <w:sz w:val="24"/>
        </w:rPr>
      </w:pPr>
    </w:p>
    <w:p>
      <w:pPr>
        <w:rPr>
          <w:rFonts w:ascii="黑体" w:hAnsi="黑体" w:eastAsia="黑体" w:cs="黑体"/>
          <w:sz w:val="30"/>
          <w:szCs w:val="30"/>
        </w:rPr>
      </w:pPr>
      <w:r>
        <w:rPr>
          <w:rFonts w:hint="eastAsia" w:ascii="黑体" w:hAnsi="黑体" w:eastAsia="黑体" w:cs="黑体"/>
          <w:sz w:val="30"/>
          <w:szCs w:val="30"/>
        </w:rPr>
        <w:t>前  言</w:t>
      </w:r>
    </w:p>
    <w:p>
      <w:pPr>
        <w:spacing w:line="400" w:lineRule="exact"/>
        <w:ind w:firstLine="456" w:firstLineChars="200"/>
        <w:rPr>
          <w:rFonts w:ascii="宋体" w:hAnsi="宋体" w:cs="宋体"/>
          <w:sz w:val="24"/>
        </w:rPr>
      </w:pPr>
      <w:r>
        <w:rPr>
          <w:rFonts w:hint="eastAsia" w:ascii="宋体" w:hAnsi="宋体" w:cs="宋体"/>
          <w:sz w:val="24"/>
        </w:rPr>
        <w:t>湖州师范学院是一所综合性的全日制普通本科高等学校。学校办学历史可追溯至1916年的钱塘道第三联合县立师范讲习所，1958年开始高等教育，1999年经国家教育部批准，原湖州师范专科学校、湖州师范学校和湖州教师进修学院合并成立湖州师范学院，2000年原湖州卫生学校并入湖州师范学院。2005年、2017年分别通过教育部本科教学工作水平评估和审核评估。2012年开始独立招收硕士研究生。学校是硕士学位授予单位，全国“文明单位”、全国学雷锋活动示范点、全国助残先进集体，国家第一批“卓越医生”和“卓越农林人才”教育培养计划项目试点高校、浙江省应用型建设试点示范学校、浙江省课堂教学创新校。</w:t>
      </w:r>
    </w:p>
    <w:p>
      <w:pPr>
        <w:spacing w:line="400" w:lineRule="exact"/>
        <w:ind w:firstLine="456" w:firstLineChars="200"/>
        <w:rPr>
          <w:rFonts w:ascii="宋体" w:hAnsi="宋体" w:cs="宋体"/>
          <w:color w:val="auto"/>
          <w:sz w:val="24"/>
          <w:highlight w:val="none"/>
        </w:rPr>
      </w:pPr>
      <w:r>
        <w:rPr>
          <w:rFonts w:hint="eastAsia" w:ascii="宋体" w:hAnsi="宋体" w:cs="宋体"/>
          <w:sz w:val="24"/>
        </w:rPr>
        <w:t>学校设有13个二级学院、6所附属医院、2个临床医学院、7所附属学校。有教育学、水产、数学、计算机科学与技术4个一级学科</w:t>
      </w:r>
      <w:bookmarkStart w:id="1" w:name="_GoBack"/>
      <w:r>
        <w:rPr>
          <w:rFonts w:hint="eastAsia" w:ascii="宋体" w:hAnsi="宋体" w:cs="宋体"/>
          <w:color w:val="auto"/>
          <w:sz w:val="24"/>
          <w:highlight w:val="none"/>
        </w:rPr>
        <w:t>硕士点和教育硕士、电子信息硕士、护理硕士、艺术硕士、国际商务硕士、体育硕士、新闻传播硕士、机械硕士、能源动力硕士、生物与医药硕士、临床医学硕士、旅游管理硕士12个专业学位硕士点。获国家高等教育教学成果奖4项，省高等教育教学成果一等奖5项、二等奖14项；主持获教育部人文社科优秀成果奖2项，主持获省自然科学奖一等奖、省科学技术进步奖一等奖、省哲学社会科学优秀成果一等奖共４项，其他省部级科研成果奖54项。拥有1个国家地方联合工程实验室，1个国际联合实验室，1个“一带一路”联合共建实验室，6个省重点（工程）实验室，2个省“2011协同创新中心”分中心，1个省级重大科技创新服务平台，1个省工程技术研究中心，1个省级院士专家工作站，1个中国水产科学研究院重点实验室，1个省级重点科研创新团队，1个国家级学会科学传播团队；1项教育部新农科研究与改革实践项目，1项教育部新工科研究与实践项目。现有外国国家科学院院士1人、共享院士5人，长江学者、国家“万人计划”专家、国家教学名师等国家级领军人才9人，省“万人计划”专家、中科院“百人计划”人才、省“钱江学者”特聘教授、省“151”重点资助人才等省级领军人才58人。全国优秀教师4人，全国优秀科技工作者1人，全国百名“两课”优秀教师1人，现代农业产业技术体系岗位科学家（农业部）3人，中国科协首席科学传播专家1人，省高校领军人才20人，省高校中青年学科带头人27人，省（高校）教学名师、教坛新秀、优秀教师18人，省十佳优秀科技工作者1人，南丁格尔奖获得者1人。在软科2021中国最好大学600强中位居第262位，在校友会大学排行榜位列全国第263位。</w:t>
      </w:r>
    </w:p>
    <w:p>
      <w:pPr>
        <w:spacing w:line="400" w:lineRule="exact"/>
        <w:ind w:firstLine="456" w:firstLineChars="200"/>
        <w:rPr>
          <w:rFonts w:ascii="宋体" w:hAnsi="宋体" w:cs="宋体"/>
          <w:color w:val="auto"/>
          <w:sz w:val="24"/>
          <w:highlight w:val="none"/>
        </w:rPr>
      </w:pPr>
      <w:r>
        <w:rPr>
          <w:rFonts w:hint="eastAsia" w:ascii="宋体" w:hAnsi="宋体" w:cs="宋体"/>
          <w:color w:val="auto"/>
          <w:sz w:val="24"/>
          <w:highlight w:val="none"/>
        </w:rPr>
        <w:t>学校全面贯彻党的教育方针，紧紧围绕立德树人根本任务，践行“明体达用”校训的时代价值，弘扬“艰苦奋斗、自强不息、包容求新、博雅笃行”的师院精神，秉持“学生为本、学者为重、学术为要、学科为基”的办学理念，着力推动学校内涵发展、特色发展、协同发展、和谐发展。学校正按照2006年习近平总书记在浙江工作期间来校视察时的重要指示，朝着建成“在国内有一定影响、一定水平、一定地位的湖州师范大学”的目标迈进。</w:t>
      </w:r>
    </w:p>
    <w:p>
      <w:pPr>
        <w:rPr>
          <w:rFonts w:ascii="黑体" w:hAnsi="黑体" w:eastAsia="黑体" w:cs="黑体"/>
          <w:color w:val="auto"/>
          <w:sz w:val="30"/>
          <w:szCs w:val="30"/>
          <w:highlight w:val="none"/>
        </w:rPr>
      </w:pPr>
      <w:r>
        <w:rPr>
          <w:rFonts w:hint="eastAsia" w:ascii="黑体" w:hAnsi="黑体" w:eastAsia="黑体" w:cs="黑体"/>
          <w:color w:val="auto"/>
          <w:sz w:val="30"/>
          <w:szCs w:val="30"/>
          <w:highlight w:val="none"/>
        </w:rPr>
        <w:t>一、本科教育基本情况</w:t>
      </w:r>
    </w:p>
    <w:p>
      <w:pPr>
        <w:rPr>
          <w:rFonts w:ascii="黑体" w:hAnsi="黑体" w:eastAsia="黑体" w:cs="黑体"/>
          <w:color w:val="auto"/>
          <w:sz w:val="28"/>
          <w:szCs w:val="28"/>
          <w:highlight w:val="none"/>
        </w:rPr>
      </w:pPr>
      <w:r>
        <w:rPr>
          <w:rFonts w:hint="eastAsia" w:ascii="黑体" w:hAnsi="黑体" w:eastAsia="黑体" w:cs="黑体"/>
          <w:color w:val="auto"/>
          <w:sz w:val="28"/>
          <w:szCs w:val="28"/>
          <w:highlight w:val="none"/>
        </w:rPr>
        <w:t>（一）人才培养目标及服务面向</w:t>
      </w:r>
    </w:p>
    <w:p>
      <w:pPr>
        <w:spacing w:line="400" w:lineRule="exact"/>
        <w:ind w:firstLine="456" w:firstLineChars="200"/>
        <w:rPr>
          <w:rFonts w:ascii="宋体" w:hAnsi="宋体" w:cs="宋体"/>
          <w:color w:val="auto"/>
          <w:sz w:val="24"/>
          <w:highlight w:val="none"/>
        </w:rPr>
      </w:pPr>
      <w:r>
        <w:rPr>
          <w:rFonts w:hint="eastAsia" w:ascii="宋体" w:hAnsi="宋体" w:cs="宋体"/>
          <w:color w:val="auto"/>
          <w:sz w:val="24"/>
          <w:highlight w:val="none"/>
        </w:rPr>
        <w:t>培养目标：全面贯彻党和国家的教育方针，秉承教师教育办学传统，强化“因地制宜、体现特色、服务地方”办学方针，充分发挥综合性高校学科优势，深化“校地共育”人才培养模式改革，培养具有“明体达用”文化特质、当代“君子”人格气质、扎实专业基础和优良创新品质的高素质应用型人才。</w:t>
      </w:r>
    </w:p>
    <w:p>
      <w:pPr>
        <w:spacing w:line="400" w:lineRule="exact"/>
        <w:ind w:firstLine="456" w:firstLineChars="200"/>
        <w:rPr>
          <w:rFonts w:ascii="宋体" w:hAnsi="宋体" w:cs="宋体"/>
          <w:color w:val="auto"/>
          <w:sz w:val="24"/>
          <w:highlight w:val="none"/>
        </w:rPr>
      </w:pPr>
      <w:r>
        <w:rPr>
          <w:rFonts w:hint="eastAsia" w:ascii="宋体" w:hAnsi="宋体" w:cs="宋体"/>
          <w:color w:val="auto"/>
          <w:sz w:val="24"/>
          <w:highlight w:val="none"/>
        </w:rPr>
        <w:t>服务面向：以加强内涵建设和提高办学质量为核心，坚持“优良师范传统、鲜明应用特色”建设思路，立足湖州、面向浙江、辐射全国，全面推进各领域的改革发展，凝练优势，彰显特色，增强实力。</w:t>
      </w:r>
    </w:p>
    <w:p>
      <w:pPr>
        <w:rPr>
          <w:rFonts w:ascii="黑体" w:hAnsi="黑体" w:eastAsia="黑体" w:cs="黑体"/>
          <w:color w:val="auto"/>
          <w:sz w:val="28"/>
          <w:szCs w:val="28"/>
          <w:highlight w:val="none"/>
        </w:rPr>
      </w:pPr>
      <w:r>
        <w:rPr>
          <w:rFonts w:hint="eastAsia" w:ascii="黑体" w:hAnsi="黑体" w:eastAsia="黑体" w:cs="黑体"/>
          <w:color w:val="auto"/>
          <w:sz w:val="28"/>
          <w:szCs w:val="28"/>
          <w:highlight w:val="none"/>
        </w:rPr>
        <w:t>（二）专业设置与学科支撑</w:t>
      </w:r>
    </w:p>
    <w:p>
      <w:pPr>
        <w:spacing w:line="400" w:lineRule="exact"/>
        <w:ind w:firstLine="456" w:firstLineChars="200"/>
        <w:rPr>
          <w:rFonts w:ascii="宋体" w:hAnsi="宋体" w:cs="宋体"/>
          <w:color w:val="auto"/>
          <w:sz w:val="24"/>
          <w:highlight w:val="none"/>
        </w:rPr>
      </w:pPr>
      <w:r>
        <w:rPr>
          <w:rFonts w:hint="eastAsia" w:ascii="宋体" w:hAnsi="宋体" w:cs="宋体"/>
          <w:color w:val="auto"/>
          <w:sz w:val="24"/>
          <w:highlight w:val="none"/>
        </w:rPr>
        <w:t>学校共有53个本科专业，涵盖经济学、法学、教育学、文学、历史学、理学、工学、农学、医学、管理学、艺术学11大学科门类。拥有2个国家特色专业，2个国家级一流本科专业建设点，1个教育部专业综合改革试点项目，2个教育部“卓越计划”项目，1个国家级新工科项目、1个国家级新农科项目，10个省一流本科专业建设点，5个省优势专业，6个省（新兴）特色专业，9个省级重点专业，6个市级重点专业。</w:t>
      </w:r>
    </w:p>
    <w:p>
      <w:pPr>
        <w:spacing w:line="400" w:lineRule="exact"/>
        <w:jc w:val="center"/>
        <w:rPr>
          <w:rFonts w:ascii="宋体" w:hAnsi="宋体" w:cs="宋体"/>
          <w:b/>
          <w:bCs/>
          <w:color w:val="auto"/>
          <w:szCs w:val="21"/>
          <w:highlight w:val="none"/>
        </w:rPr>
      </w:pPr>
      <w:r>
        <w:rPr>
          <w:rFonts w:hint="eastAsia" w:ascii="宋体" w:hAnsi="宋体" w:cs="宋体"/>
          <w:b/>
          <w:bCs/>
          <w:color w:val="auto"/>
          <w:szCs w:val="21"/>
          <w:highlight w:val="none"/>
        </w:rPr>
        <w:t>表1  专业与学科、平台支撑</w:t>
      </w:r>
    </w:p>
    <w:tbl>
      <w:tblPr>
        <w:tblStyle w:val="9"/>
        <w:tblW w:w="924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79" w:type="dxa"/>
          <w:bottom w:w="0" w:type="dxa"/>
          <w:right w:w="79" w:type="dxa"/>
        </w:tblCellMar>
      </w:tblPr>
      <w:tblGrid>
        <w:gridCol w:w="624"/>
        <w:gridCol w:w="1708"/>
        <w:gridCol w:w="4431"/>
        <w:gridCol w:w="247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79" w:type="dxa"/>
            <w:bottom w:w="0" w:type="dxa"/>
            <w:right w:w="79" w:type="dxa"/>
          </w:tblCellMar>
        </w:tblPrEx>
        <w:trPr>
          <w:trHeight w:val="359" w:hRule="atLeast"/>
          <w:jc w:val="center"/>
        </w:trPr>
        <w:tc>
          <w:tcPr>
            <w:tcW w:w="624" w:type="dxa"/>
            <w:tcBorders>
              <w:tl2br w:val="nil"/>
              <w:tr2bl w:val="nil"/>
            </w:tcBorders>
            <w:vAlign w:val="center"/>
          </w:tcPr>
          <w:p>
            <w:pPr>
              <w:adjustRightInd w:val="0"/>
              <w:snapToGrid w:val="0"/>
              <w:spacing w:line="0" w:lineRule="atLeast"/>
              <w:jc w:val="center"/>
              <w:rPr>
                <w:rFonts w:ascii="黑体" w:hAnsi="黑体" w:eastAsia="黑体" w:cs="黑体"/>
                <w:color w:val="auto"/>
                <w:szCs w:val="21"/>
                <w:highlight w:val="none"/>
              </w:rPr>
            </w:pPr>
            <w:r>
              <w:rPr>
                <w:rFonts w:hint="eastAsia" w:ascii="黑体" w:hAnsi="黑体" w:eastAsia="黑体" w:cs="黑体"/>
                <w:color w:val="auto"/>
                <w:szCs w:val="21"/>
                <w:highlight w:val="none"/>
              </w:rPr>
              <w:t>二级</w:t>
            </w:r>
          </w:p>
          <w:p>
            <w:pPr>
              <w:adjustRightInd w:val="0"/>
              <w:snapToGrid w:val="0"/>
              <w:spacing w:line="0" w:lineRule="atLeast"/>
              <w:jc w:val="center"/>
              <w:rPr>
                <w:rFonts w:ascii="黑体" w:hAnsi="黑体" w:eastAsia="黑体" w:cs="黑体"/>
                <w:color w:val="auto"/>
                <w:szCs w:val="21"/>
                <w:highlight w:val="none"/>
              </w:rPr>
            </w:pPr>
            <w:r>
              <w:rPr>
                <w:rFonts w:hint="eastAsia" w:ascii="黑体" w:hAnsi="黑体" w:eastAsia="黑体" w:cs="黑体"/>
                <w:color w:val="auto"/>
                <w:szCs w:val="21"/>
                <w:highlight w:val="none"/>
              </w:rPr>
              <w:t>学院</w:t>
            </w:r>
          </w:p>
        </w:tc>
        <w:tc>
          <w:tcPr>
            <w:tcW w:w="1708" w:type="dxa"/>
            <w:tcBorders>
              <w:tl2br w:val="nil"/>
              <w:tr2bl w:val="nil"/>
            </w:tcBorders>
            <w:vAlign w:val="center"/>
          </w:tcPr>
          <w:p>
            <w:pPr>
              <w:adjustRightInd w:val="0"/>
              <w:snapToGrid w:val="0"/>
              <w:spacing w:line="0" w:lineRule="atLeast"/>
              <w:jc w:val="center"/>
              <w:rPr>
                <w:rFonts w:ascii="黑体" w:hAnsi="黑体" w:eastAsia="黑体" w:cs="黑体"/>
                <w:color w:val="auto"/>
                <w:szCs w:val="21"/>
                <w:highlight w:val="none"/>
              </w:rPr>
            </w:pPr>
            <w:r>
              <w:rPr>
                <w:rFonts w:hint="eastAsia" w:ascii="黑体" w:hAnsi="黑体" w:eastAsia="黑体" w:cs="黑体"/>
                <w:color w:val="auto"/>
                <w:szCs w:val="21"/>
                <w:highlight w:val="none"/>
              </w:rPr>
              <w:t>专业</w:t>
            </w:r>
          </w:p>
        </w:tc>
        <w:tc>
          <w:tcPr>
            <w:tcW w:w="4431" w:type="dxa"/>
            <w:tcBorders>
              <w:tl2br w:val="nil"/>
              <w:tr2bl w:val="nil"/>
            </w:tcBorders>
            <w:vAlign w:val="center"/>
          </w:tcPr>
          <w:p>
            <w:pPr>
              <w:adjustRightInd w:val="0"/>
              <w:snapToGrid w:val="0"/>
              <w:spacing w:line="0" w:lineRule="atLeast"/>
              <w:jc w:val="center"/>
              <w:rPr>
                <w:rFonts w:ascii="黑体" w:hAnsi="黑体" w:eastAsia="黑体" w:cs="黑体"/>
                <w:color w:val="auto"/>
                <w:szCs w:val="21"/>
                <w:highlight w:val="none"/>
              </w:rPr>
            </w:pPr>
            <w:r>
              <w:rPr>
                <w:rFonts w:hint="eastAsia" w:ascii="黑体" w:hAnsi="黑体" w:eastAsia="黑体" w:cs="黑体"/>
                <w:color w:val="auto"/>
                <w:szCs w:val="21"/>
                <w:highlight w:val="none"/>
              </w:rPr>
              <w:t>专业建设项目</w:t>
            </w:r>
          </w:p>
        </w:tc>
        <w:tc>
          <w:tcPr>
            <w:tcW w:w="2478" w:type="dxa"/>
            <w:tcBorders>
              <w:tl2br w:val="nil"/>
              <w:tr2bl w:val="nil"/>
            </w:tcBorders>
            <w:vAlign w:val="center"/>
          </w:tcPr>
          <w:p>
            <w:pPr>
              <w:adjustRightInd w:val="0"/>
              <w:snapToGrid w:val="0"/>
              <w:spacing w:line="0" w:lineRule="atLeast"/>
              <w:jc w:val="center"/>
              <w:rPr>
                <w:rFonts w:ascii="黑体" w:hAnsi="黑体" w:eastAsia="黑体" w:cs="黑体"/>
                <w:color w:val="auto"/>
                <w:szCs w:val="21"/>
                <w:highlight w:val="none"/>
              </w:rPr>
            </w:pPr>
            <w:r>
              <w:rPr>
                <w:rFonts w:hint="eastAsia" w:ascii="黑体" w:hAnsi="黑体" w:eastAsia="黑体" w:cs="黑体"/>
                <w:color w:val="auto"/>
                <w:szCs w:val="21"/>
                <w:highlight w:val="none"/>
              </w:rPr>
              <w:t>学科与平台支撑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79" w:type="dxa"/>
            <w:bottom w:w="0" w:type="dxa"/>
            <w:right w:w="79" w:type="dxa"/>
          </w:tblCellMar>
        </w:tblPrEx>
        <w:trPr>
          <w:trHeight w:val="347" w:hRule="atLeast"/>
          <w:jc w:val="center"/>
        </w:trPr>
        <w:tc>
          <w:tcPr>
            <w:tcW w:w="624" w:type="dxa"/>
            <w:vMerge w:val="restart"/>
            <w:tcBorders>
              <w:tl2br w:val="nil"/>
              <w:tr2bl w:val="nil"/>
            </w:tcBorders>
            <w:vAlign w:val="center"/>
          </w:tcPr>
          <w:p>
            <w:pPr>
              <w:adjustRightInd w:val="0"/>
              <w:snapToGrid w:val="0"/>
              <w:spacing w:line="0" w:lineRule="atLeast"/>
              <w:jc w:val="center"/>
              <w:rPr>
                <w:rFonts w:ascii="宋体" w:hAnsi="宋体" w:cs="宋体"/>
                <w:color w:val="auto"/>
                <w:szCs w:val="21"/>
                <w:highlight w:val="none"/>
              </w:rPr>
            </w:pPr>
            <w:r>
              <w:rPr>
                <w:rFonts w:hint="eastAsia" w:ascii="宋体" w:hAnsi="宋体" w:cs="宋体"/>
                <w:color w:val="auto"/>
                <w:szCs w:val="21"/>
                <w:highlight w:val="none"/>
              </w:rPr>
              <w:t>经济</w:t>
            </w:r>
          </w:p>
          <w:p>
            <w:pPr>
              <w:adjustRightInd w:val="0"/>
              <w:snapToGrid w:val="0"/>
              <w:spacing w:line="0" w:lineRule="atLeast"/>
              <w:jc w:val="center"/>
              <w:rPr>
                <w:rFonts w:ascii="宋体" w:hAnsi="宋体" w:cs="宋体"/>
                <w:color w:val="auto"/>
                <w:szCs w:val="21"/>
                <w:highlight w:val="none"/>
              </w:rPr>
            </w:pPr>
            <w:r>
              <w:rPr>
                <w:rFonts w:hint="eastAsia" w:ascii="宋体" w:hAnsi="宋体" w:cs="宋体"/>
                <w:color w:val="auto"/>
                <w:szCs w:val="21"/>
                <w:highlight w:val="none"/>
              </w:rPr>
              <w:t>管理</w:t>
            </w:r>
          </w:p>
          <w:p>
            <w:pPr>
              <w:adjustRightInd w:val="0"/>
              <w:snapToGrid w:val="0"/>
              <w:spacing w:line="0" w:lineRule="atLeast"/>
              <w:jc w:val="center"/>
              <w:rPr>
                <w:rFonts w:ascii="宋体" w:hAnsi="宋体" w:cs="宋体"/>
                <w:color w:val="auto"/>
                <w:szCs w:val="21"/>
                <w:highlight w:val="none"/>
              </w:rPr>
            </w:pPr>
            <w:r>
              <w:rPr>
                <w:rFonts w:hint="eastAsia" w:ascii="宋体" w:hAnsi="宋体" w:cs="宋体"/>
                <w:color w:val="auto"/>
                <w:szCs w:val="21"/>
                <w:highlight w:val="none"/>
              </w:rPr>
              <w:t>学院</w:t>
            </w:r>
          </w:p>
        </w:tc>
        <w:tc>
          <w:tcPr>
            <w:tcW w:w="1708" w:type="dxa"/>
            <w:tcBorders>
              <w:tl2br w:val="nil"/>
              <w:tr2bl w:val="nil"/>
            </w:tcBorders>
            <w:vAlign w:val="center"/>
          </w:tcPr>
          <w:p>
            <w:pPr>
              <w:adjustRightInd w:val="0"/>
              <w:snapToGrid w:val="0"/>
              <w:spacing w:line="0" w:lineRule="atLeast"/>
              <w:jc w:val="center"/>
              <w:rPr>
                <w:rFonts w:ascii="宋体" w:hAnsi="宋体" w:cs="宋体"/>
                <w:color w:val="auto"/>
                <w:szCs w:val="21"/>
                <w:highlight w:val="none"/>
              </w:rPr>
            </w:pPr>
            <w:r>
              <w:rPr>
                <w:rFonts w:hint="eastAsia" w:ascii="宋体" w:hAnsi="宋体" w:cs="宋体"/>
                <w:color w:val="auto"/>
                <w:szCs w:val="21"/>
                <w:highlight w:val="none"/>
              </w:rPr>
              <w:t>国际经济与贸易</w:t>
            </w:r>
          </w:p>
        </w:tc>
        <w:tc>
          <w:tcPr>
            <w:tcW w:w="4431" w:type="dxa"/>
            <w:tcBorders>
              <w:tl2br w:val="nil"/>
              <w:tr2bl w:val="nil"/>
            </w:tcBorders>
            <w:vAlign w:val="center"/>
          </w:tcPr>
          <w:p>
            <w:pPr>
              <w:adjustRightInd w:val="0"/>
              <w:snapToGrid w:val="0"/>
              <w:spacing w:line="0" w:lineRule="atLeast"/>
              <w:jc w:val="center"/>
              <w:rPr>
                <w:rFonts w:ascii="宋体" w:hAnsi="宋体" w:cs="宋体"/>
                <w:color w:val="auto"/>
                <w:szCs w:val="21"/>
                <w:highlight w:val="none"/>
              </w:rPr>
            </w:pPr>
            <w:r>
              <w:rPr>
                <w:rFonts w:hint="eastAsia" w:ascii="宋体" w:hAnsi="宋体" w:cs="宋体"/>
                <w:color w:val="auto"/>
                <w:szCs w:val="21"/>
                <w:highlight w:val="none"/>
              </w:rPr>
              <w:t>省一流专业建设点、省级重点专业、市重点专业、校一流专业培育项目、校专业国际化项目</w:t>
            </w:r>
          </w:p>
        </w:tc>
        <w:tc>
          <w:tcPr>
            <w:tcW w:w="2478" w:type="dxa"/>
            <w:vMerge w:val="restart"/>
            <w:tcBorders>
              <w:tl2br w:val="nil"/>
              <w:tr2bl w:val="nil"/>
            </w:tcBorders>
            <w:vAlign w:val="center"/>
          </w:tcPr>
          <w:p>
            <w:pPr>
              <w:adjustRightInd w:val="0"/>
              <w:snapToGrid w:val="0"/>
              <w:spacing w:line="0" w:lineRule="atLeast"/>
              <w:jc w:val="center"/>
              <w:rPr>
                <w:rFonts w:ascii="宋体" w:hAnsi="宋体" w:cs="宋体"/>
                <w:color w:val="auto"/>
                <w:szCs w:val="21"/>
                <w:highlight w:val="none"/>
              </w:rPr>
            </w:pPr>
            <w:r>
              <w:rPr>
                <w:rFonts w:hint="eastAsia" w:ascii="宋体" w:hAnsi="宋体" w:cs="宋体"/>
                <w:color w:val="auto"/>
                <w:szCs w:val="21"/>
                <w:highlight w:val="none"/>
              </w:rPr>
              <w:t>省级实验教学示范中心（商科实验教学中心）、市重点学科（应用经济学）、法律援助工作站（市 级）、校重点学科（工商管理）、校特色学科（公共管理）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79" w:type="dxa"/>
            <w:bottom w:w="0" w:type="dxa"/>
            <w:right w:w="79" w:type="dxa"/>
          </w:tblCellMar>
        </w:tblPrEx>
        <w:trPr>
          <w:trHeight w:val="476" w:hRule="atLeast"/>
          <w:jc w:val="center"/>
        </w:trPr>
        <w:tc>
          <w:tcPr>
            <w:tcW w:w="624" w:type="dxa"/>
            <w:vMerge w:val="continue"/>
            <w:tcBorders>
              <w:tl2br w:val="nil"/>
              <w:tr2bl w:val="nil"/>
            </w:tcBorders>
            <w:vAlign w:val="center"/>
          </w:tcPr>
          <w:p>
            <w:pPr>
              <w:adjustRightInd w:val="0"/>
              <w:snapToGrid w:val="0"/>
              <w:spacing w:line="0" w:lineRule="atLeast"/>
              <w:rPr>
                <w:rFonts w:ascii="宋体" w:hAnsi="宋体" w:cs="宋体"/>
                <w:color w:val="auto"/>
                <w:szCs w:val="21"/>
                <w:highlight w:val="none"/>
              </w:rPr>
            </w:pPr>
          </w:p>
        </w:tc>
        <w:tc>
          <w:tcPr>
            <w:tcW w:w="1708" w:type="dxa"/>
            <w:tcBorders>
              <w:tl2br w:val="nil"/>
              <w:tr2bl w:val="nil"/>
            </w:tcBorders>
            <w:vAlign w:val="center"/>
          </w:tcPr>
          <w:p>
            <w:pPr>
              <w:adjustRightInd w:val="0"/>
              <w:snapToGrid w:val="0"/>
              <w:spacing w:line="0" w:lineRule="atLeast"/>
              <w:jc w:val="center"/>
              <w:rPr>
                <w:rFonts w:ascii="宋体" w:hAnsi="宋体" w:cs="宋体"/>
                <w:color w:val="auto"/>
                <w:szCs w:val="21"/>
                <w:highlight w:val="none"/>
              </w:rPr>
            </w:pPr>
            <w:r>
              <w:rPr>
                <w:rFonts w:hint="eastAsia" w:ascii="宋体" w:hAnsi="宋体" w:cs="宋体"/>
                <w:color w:val="auto"/>
                <w:szCs w:val="21"/>
                <w:highlight w:val="none"/>
              </w:rPr>
              <w:t>电子商务</w:t>
            </w:r>
          </w:p>
        </w:tc>
        <w:tc>
          <w:tcPr>
            <w:tcW w:w="4431" w:type="dxa"/>
            <w:tcBorders>
              <w:tl2br w:val="nil"/>
              <w:tr2bl w:val="nil"/>
            </w:tcBorders>
            <w:vAlign w:val="center"/>
          </w:tcPr>
          <w:p>
            <w:pPr>
              <w:adjustRightInd w:val="0"/>
              <w:snapToGrid w:val="0"/>
              <w:spacing w:line="0" w:lineRule="atLeast"/>
              <w:jc w:val="center"/>
              <w:rPr>
                <w:rFonts w:ascii="宋体" w:hAnsi="宋体" w:cs="宋体"/>
                <w:color w:val="auto"/>
                <w:szCs w:val="21"/>
                <w:highlight w:val="none"/>
              </w:rPr>
            </w:pPr>
            <w:r>
              <w:rPr>
                <w:rFonts w:hint="eastAsia" w:ascii="宋体" w:hAnsi="宋体" w:cs="宋体"/>
                <w:color w:val="auto"/>
                <w:szCs w:val="21"/>
                <w:highlight w:val="none"/>
              </w:rPr>
              <w:t>校重点专业</w:t>
            </w:r>
          </w:p>
        </w:tc>
        <w:tc>
          <w:tcPr>
            <w:tcW w:w="2478" w:type="dxa"/>
            <w:vMerge w:val="continue"/>
            <w:tcBorders>
              <w:tl2br w:val="nil"/>
              <w:tr2bl w:val="nil"/>
            </w:tcBorders>
            <w:vAlign w:val="center"/>
          </w:tcPr>
          <w:p>
            <w:pPr>
              <w:adjustRightInd w:val="0"/>
              <w:snapToGrid w:val="0"/>
              <w:spacing w:line="0" w:lineRule="atLeast"/>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79" w:type="dxa"/>
            <w:bottom w:w="0" w:type="dxa"/>
            <w:right w:w="79" w:type="dxa"/>
          </w:tblCellMar>
        </w:tblPrEx>
        <w:trPr>
          <w:trHeight w:val="476" w:hRule="atLeast"/>
          <w:jc w:val="center"/>
        </w:trPr>
        <w:tc>
          <w:tcPr>
            <w:tcW w:w="624" w:type="dxa"/>
            <w:vMerge w:val="continue"/>
            <w:tcBorders>
              <w:tl2br w:val="nil"/>
              <w:tr2bl w:val="nil"/>
            </w:tcBorders>
            <w:vAlign w:val="center"/>
          </w:tcPr>
          <w:p>
            <w:pPr>
              <w:adjustRightInd w:val="0"/>
              <w:snapToGrid w:val="0"/>
              <w:spacing w:line="0" w:lineRule="atLeast"/>
              <w:rPr>
                <w:rFonts w:ascii="宋体" w:hAnsi="宋体" w:cs="宋体"/>
                <w:color w:val="auto"/>
                <w:szCs w:val="21"/>
                <w:highlight w:val="none"/>
              </w:rPr>
            </w:pPr>
          </w:p>
        </w:tc>
        <w:tc>
          <w:tcPr>
            <w:tcW w:w="1708" w:type="dxa"/>
            <w:tcBorders>
              <w:tl2br w:val="nil"/>
              <w:tr2bl w:val="nil"/>
            </w:tcBorders>
            <w:vAlign w:val="center"/>
          </w:tcPr>
          <w:p>
            <w:pPr>
              <w:adjustRightInd w:val="0"/>
              <w:snapToGrid w:val="0"/>
              <w:spacing w:line="0" w:lineRule="atLeast"/>
              <w:jc w:val="center"/>
              <w:rPr>
                <w:rFonts w:ascii="宋体" w:hAnsi="宋体" w:cs="宋体"/>
                <w:color w:val="auto"/>
                <w:szCs w:val="21"/>
                <w:highlight w:val="none"/>
              </w:rPr>
            </w:pPr>
            <w:r>
              <w:rPr>
                <w:rFonts w:hint="eastAsia" w:ascii="宋体" w:hAnsi="宋体" w:cs="宋体"/>
                <w:color w:val="auto"/>
                <w:szCs w:val="21"/>
                <w:highlight w:val="none"/>
              </w:rPr>
              <w:t>物流管理</w:t>
            </w:r>
          </w:p>
        </w:tc>
        <w:tc>
          <w:tcPr>
            <w:tcW w:w="4431" w:type="dxa"/>
            <w:tcBorders>
              <w:tl2br w:val="nil"/>
              <w:tr2bl w:val="nil"/>
            </w:tcBorders>
            <w:vAlign w:val="center"/>
          </w:tcPr>
          <w:p>
            <w:pPr>
              <w:adjustRightInd w:val="0"/>
              <w:snapToGrid w:val="0"/>
              <w:spacing w:line="0" w:lineRule="atLeast"/>
              <w:jc w:val="center"/>
              <w:rPr>
                <w:rFonts w:ascii="宋体" w:hAnsi="宋体" w:cs="宋体"/>
                <w:color w:val="auto"/>
                <w:szCs w:val="21"/>
                <w:highlight w:val="none"/>
              </w:rPr>
            </w:pPr>
            <w:r>
              <w:rPr>
                <w:rFonts w:hint="eastAsia" w:ascii="宋体" w:hAnsi="宋体" w:cs="宋体"/>
                <w:color w:val="auto"/>
                <w:szCs w:val="21"/>
                <w:highlight w:val="none"/>
              </w:rPr>
              <w:t>院重点专业、校一流专业培育项目</w:t>
            </w:r>
          </w:p>
        </w:tc>
        <w:tc>
          <w:tcPr>
            <w:tcW w:w="2478" w:type="dxa"/>
            <w:vMerge w:val="continue"/>
            <w:tcBorders>
              <w:tl2br w:val="nil"/>
              <w:tr2bl w:val="nil"/>
            </w:tcBorders>
            <w:vAlign w:val="center"/>
          </w:tcPr>
          <w:p>
            <w:pPr>
              <w:adjustRightInd w:val="0"/>
              <w:snapToGrid w:val="0"/>
              <w:spacing w:line="0" w:lineRule="atLeast"/>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79" w:type="dxa"/>
            <w:bottom w:w="0" w:type="dxa"/>
            <w:right w:w="79" w:type="dxa"/>
          </w:tblCellMar>
        </w:tblPrEx>
        <w:trPr>
          <w:trHeight w:val="500" w:hRule="atLeast"/>
          <w:jc w:val="center"/>
        </w:trPr>
        <w:tc>
          <w:tcPr>
            <w:tcW w:w="624" w:type="dxa"/>
            <w:vMerge w:val="continue"/>
            <w:tcBorders>
              <w:tl2br w:val="nil"/>
              <w:tr2bl w:val="nil"/>
            </w:tcBorders>
            <w:vAlign w:val="center"/>
          </w:tcPr>
          <w:p>
            <w:pPr>
              <w:adjustRightInd w:val="0"/>
              <w:snapToGrid w:val="0"/>
              <w:spacing w:line="0" w:lineRule="atLeast"/>
              <w:rPr>
                <w:rFonts w:ascii="宋体" w:hAnsi="宋体" w:cs="宋体"/>
                <w:color w:val="auto"/>
                <w:szCs w:val="21"/>
                <w:highlight w:val="none"/>
              </w:rPr>
            </w:pPr>
          </w:p>
        </w:tc>
        <w:tc>
          <w:tcPr>
            <w:tcW w:w="1708" w:type="dxa"/>
            <w:tcBorders>
              <w:tl2br w:val="nil"/>
              <w:tr2bl w:val="nil"/>
            </w:tcBorders>
            <w:vAlign w:val="center"/>
          </w:tcPr>
          <w:p>
            <w:pPr>
              <w:adjustRightInd w:val="0"/>
              <w:snapToGrid w:val="0"/>
              <w:spacing w:line="0" w:lineRule="atLeast"/>
              <w:jc w:val="center"/>
              <w:rPr>
                <w:rFonts w:ascii="宋体" w:hAnsi="宋体" w:cs="宋体"/>
                <w:color w:val="auto"/>
                <w:szCs w:val="21"/>
                <w:highlight w:val="none"/>
              </w:rPr>
            </w:pPr>
            <w:r>
              <w:rPr>
                <w:rFonts w:hint="eastAsia" w:ascii="宋体" w:hAnsi="宋体" w:cs="宋体"/>
                <w:color w:val="auto"/>
                <w:szCs w:val="21"/>
                <w:highlight w:val="none"/>
              </w:rPr>
              <w:t>财务管理</w:t>
            </w:r>
          </w:p>
        </w:tc>
        <w:tc>
          <w:tcPr>
            <w:tcW w:w="4431" w:type="dxa"/>
            <w:tcBorders>
              <w:tl2br w:val="nil"/>
              <w:tr2bl w:val="nil"/>
            </w:tcBorders>
            <w:vAlign w:val="center"/>
          </w:tcPr>
          <w:p>
            <w:pPr>
              <w:adjustRightInd w:val="0"/>
              <w:snapToGrid w:val="0"/>
              <w:spacing w:line="0" w:lineRule="atLeast"/>
              <w:jc w:val="center"/>
              <w:rPr>
                <w:rFonts w:ascii="宋体" w:hAnsi="宋体" w:cs="宋体"/>
                <w:color w:val="auto"/>
                <w:szCs w:val="21"/>
                <w:highlight w:val="none"/>
              </w:rPr>
            </w:pPr>
            <w:r>
              <w:rPr>
                <w:rFonts w:hint="eastAsia" w:ascii="宋体" w:hAnsi="宋体" w:cs="宋体"/>
                <w:color w:val="auto"/>
                <w:szCs w:val="21"/>
                <w:highlight w:val="none"/>
              </w:rPr>
              <w:t>校一流专业培育项目</w:t>
            </w:r>
          </w:p>
        </w:tc>
        <w:tc>
          <w:tcPr>
            <w:tcW w:w="2478" w:type="dxa"/>
            <w:vMerge w:val="continue"/>
            <w:tcBorders>
              <w:tl2br w:val="nil"/>
              <w:tr2bl w:val="nil"/>
            </w:tcBorders>
            <w:vAlign w:val="center"/>
          </w:tcPr>
          <w:p>
            <w:pPr>
              <w:adjustRightInd w:val="0"/>
              <w:snapToGrid w:val="0"/>
              <w:spacing w:line="0" w:lineRule="atLeast"/>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79" w:type="dxa"/>
            <w:bottom w:w="0" w:type="dxa"/>
            <w:right w:w="79" w:type="dxa"/>
          </w:tblCellMar>
        </w:tblPrEx>
        <w:trPr>
          <w:trHeight w:val="487" w:hRule="atLeast"/>
          <w:jc w:val="center"/>
        </w:trPr>
        <w:tc>
          <w:tcPr>
            <w:tcW w:w="624" w:type="dxa"/>
            <w:vMerge w:val="continue"/>
            <w:tcBorders>
              <w:tl2br w:val="nil"/>
              <w:tr2bl w:val="nil"/>
            </w:tcBorders>
            <w:vAlign w:val="center"/>
          </w:tcPr>
          <w:p>
            <w:pPr>
              <w:adjustRightInd w:val="0"/>
              <w:snapToGrid w:val="0"/>
              <w:spacing w:line="0" w:lineRule="atLeast"/>
              <w:rPr>
                <w:rFonts w:ascii="宋体" w:hAnsi="宋体" w:cs="宋体"/>
                <w:color w:val="auto"/>
                <w:szCs w:val="21"/>
                <w:highlight w:val="none"/>
              </w:rPr>
            </w:pPr>
          </w:p>
        </w:tc>
        <w:tc>
          <w:tcPr>
            <w:tcW w:w="1708" w:type="dxa"/>
            <w:tcBorders>
              <w:tl2br w:val="nil"/>
              <w:tr2bl w:val="nil"/>
            </w:tcBorders>
            <w:vAlign w:val="center"/>
          </w:tcPr>
          <w:p>
            <w:pPr>
              <w:adjustRightInd w:val="0"/>
              <w:snapToGrid w:val="0"/>
              <w:spacing w:line="0" w:lineRule="atLeast"/>
              <w:jc w:val="center"/>
              <w:rPr>
                <w:rFonts w:ascii="宋体" w:hAnsi="宋体" w:cs="宋体"/>
                <w:color w:val="auto"/>
                <w:szCs w:val="21"/>
                <w:highlight w:val="none"/>
              </w:rPr>
            </w:pPr>
            <w:r>
              <w:rPr>
                <w:rFonts w:hint="eastAsia" w:ascii="宋体" w:hAnsi="宋体" w:cs="宋体"/>
                <w:color w:val="auto"/>
                <w:szCs w:val="21"/>
                <w:highlight w:val="none"/>
              </w:rPr>
              <w:t>金融工程</w:t>
            </w:r>
          </w:p>
        </w:tc>
        <w:tc>
          <w:tcPr>
            <w:tcW w:w="4431" w:type="dxa"/>
            <w:tcBorders>
              <w:tl2br w:val="nil"/>
              <w:tr2bl w:val="nil"/>
            </w:tcBorders>
            <w:vAlign w:val="center"/>
          </w:tcPr>
          <w:p>
            <w:pPr>
              <w:adjustRightInd w:val="0"/>
              <w:snapToGrid w:val="0"/>
              <w:spacing w:line="0" w:lineRule="atLeast"/>
              <w:jc w:val="center"/>
              <w:rPr>
                <w:rFonts w:ascii="宋体" w:hAnsi="宋体" w:cs="宋体"/>
                <w:color w:val="auto"/>
                <w:szCs w:val="21"/>
                <w:highlight w:val="none"/>
              </w:rPr>
            </w:pPr>
            <w:r>
              <w:rPr>
                <w:rFonts w:hint="eastAsia" w:ascii="宋体" w:hAnsi="宋体" w:cs="宋体"/>
                <w:color w:val="auto"/>
                <w:szCs w:val="21"/>
                <w:highlight w:val="none"/>
              </w:rPr>
              <w:t>院重点专业</w:t>
            </w:r>
          </w:p>
        </w:tc>
        <w:tc>
          <w:tcPr>
            <w:tcW w:w="2478" w:type="dxa"/>
            <w:vMerge w:val="continue"/>
            <w:tcBorders>
              <w:tl2br w:val="nil"/>
              <w:tr2bl w:val="nil"/>
            </w:tcBorders>
            <w:vAlign w:val="center"/>
          </w:tcPr>
          <w:p>
            <w:pPr>
              <w:adjustRightInd w:val="0"/>
              <w:snapToGrid w:val="0"/>
              <w:spacing w:line="0" w:lineRule="atLeast"/>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79" w:type="dxa"/>
            <w:bottom w:w="0" w:type="dxa"/>
            <w:right w:w="79" w:type="dxa"/>
          </w:tblCellMar>
        </w:tblPrEx>
        <w:trPr>
          <w:trHeight w:val="488" w:hRule="atLeast"/>
          <w:jc w:val="center"/>
        </w:trPr>
        <w:tc>
          <w:tcPr>
            <w:tcW w:w="624" w:type="dxa"/>
            <w:vMerge w:val="continue"/>
            <w:tcBorders>
              <w:tl2br w:val="nil"/>
              <w:tr2bl w:val="nil"/>
            </w:tcBorders>
            <w:vAlign w:val="center"/>
          </w:tcPr>
          <w:p>
            <w:pPr>
              <w:adjustRightInd w:val="0"/>
              <w:snapToGrid w:val="0"/>
              <w:spacing w:line="0" w:lineRule="atLeast"/>
              <w:rPr>
                <w:rFonts w:ascii="宋体" w:hAnsi="宋体" w:cs="宋体"/>
                <w:color w:val="auto"/>
                <w:szCs w:val="21"/>
                <w:highlight w:val="none"/>
              </w:rPr>
            </w:pPr>
          </w:p>
        </w:tc>
        <w:tc>
          <w:tcPr>
            <w:tcW w:w="1708" w:type="dxa"/>
            <w:tcBorders>
              <w:tl2br w:val="nil"/>
              <w:tr2bl w:val="nil"/>
            </w:tcBorders>
            <w:vAlign w:val="center"/>
          </w:tcPr>
          <w:p>
            <w:pPr>
              <w:adjustRightInd w:val="0"/>
              <w:snapToGrid w:val="0"/>
              <w:spacing w:line="0" w:lineRule="atLeast"/>
              <w:jc w:val="center"/>
              <w:rPr>
                <w:rFonts w:ascii="宋体" w:hAnsi="宋体" w:cs="宋体"/>
                <w:color w:val="auto"/>
                <w:szCs w:val="21"/>
                <w:highlight w:val="none"/>
              </w:rPr>
            </w:pPr>
            <w:r>
              <w:rPr>
                <w:rFonts w:hint="eastAsia" w:ascii="宋体" w:hAnsi="宋体" w:cs="宋体"/>
                <w:color w:val="auto"/>
                <w:szCs w:val="21"/>
                <w:highlight w:val="none"/>
              </w:rPr>
              <w:t>行政管理</w:t>
            </w:r>
          </w:p>
        </w:tc>
        <w:tc>
          <w:tcPr>
            <w:tcW w:w="4431" w:type="dxa"/>
            <w:tcBorders>
              <w:tl2br w:val="nil"/>
              <w:tr2bl w:val="nil"/>
            </w:tcBorders>
            <w:vAlign w:val="center"/>
          </w:tcPr>
          <w:p>
            <w:pPr>
              <w:adjustRightInd w:val="0"/>
              <w:snapToGrid w:val="0"/>
              <w:spacing w:line="0" w:lineRule="atLeast"/>
              <w:jc w:val="center"/>
              <w:rPr>
                <w:rFonts w:ascii="宋体" w:hAnsi="宋体" w:cs="宋体"/>
                <w:color w:val="auto"/>
                <w:szCs w:val="21"/>
                <w:highlight w:val="none"/>
              </w:rPr>
            </w:pPr>
            <w:r>
              <w:rPr>
                <w:rFonts w:hint="eastAsia" w:ascii="宋体" w:hAnsi="宋体" w:cs="宋体"/>
                <w:color w:val="auto"/>
                <w:szCs w:val="21"/>
                <w:highlight w:val="none"/>
              </w:rPr>
              <w:t>院重点专业</w:t>
            </w:r>
          </w:p>
        </w:tc>
        <w:tc>
          <w:tcPr>
            <w:tcW w:w="2478" w:type="dxa"/>
            <w:vMerge w:val="continue"/>
            <w:tcBorders>
              <w:tl2br w:val="nil"/>
              <w:tr2bl w:val="nil"/>
            </w:tcBorders>
            <w:vAlign w:val="center"/>
          </w:tcPr>
          <w:p>
            <w:pPr>
              <w:adjustRightInd w:val="0"/>
              <w:snapToGrid w:val="0"/>
              <w:spacing w:line="0" w:lineRule="atLeast"/>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79" w:type="dxa"/>
            <w:bottom w:w="0" w:type="dxa"/>
            <w:right w:w="79" w:type="dxa"/>
          </w:tblCellMar>
        </w:tblPrEx>
        <w:trPr>
          <w:trHeight w:val="488" w:hRule="atLeast"/>
          <w:jc w:val="center"/>
        </w:trPr>
        <w:tc>
          <w:tcPr>
            <w:tcW w:w="624" w:type="dxa"/>
            <w:vMerge w:val="continue"/>
            <w:tcBorders>
              <w:tl2br w:val="nil"/>
              <w:tr2bl w:val="nil"/>
            </w:tcBorders>
            <w:vAlign w:val="center"/>
          </w:tcPr>
          <w:p>
            <w:pPr>
              <w:adjustRightInd w:val="0"/>
              <w:snapToGrid w:val="0"/>
              <w:spacing w:line="0" w:lineRule="atLeast"/>
              <w:rPr>
                <w:rFonts w:ascii="宋体" w:hAnsi="宋体" w:cs="宋体"/>
                <w:color w:val="auto"/>
                <w:szCs w:val="21"/>
                <w:highlight w:val="none"/>
              </w:rPr>
            </w:pPr>
          </w:p>
        </w:tc>
        <w:tc>
          <w:tcPr>
            <w:tcW w:w="1708" w:type="dxa"/>
            <w:tcBorders>
              <w:tl2br w:val="nil"/>
              <w:tr2bl w:val="nil"/>
            </w:tcBorders>
            <w:vAlign w:val="center"/>
          </w:tcPr>
          <w:p>
            <w:pPr>
              <w:adjustRightInd w:val="0"/>
              <w:snapToGrid w:val="0"/>
              <w:spacing w:line="0" w:lineRule="atLeast"/>
              <w:jc w:val="center"/>
              <w:rPr>
                <w:rFonts w:ascii="宋体" w:hAnsi="宋体" w:cs="宋体"/>
                <w:color w:val="auto"/>
                <w:szCs w:val="21"/>
                <w:highlight w:val="none"/>
              </w:rPr>
            </w:pPr>
            <w:r>
              <w:rPr>
                <w:rFonts w:hint="eastAsia" w:ascii="宋体" w:hAnsi="宋体" w:cs="宋体"/>
                <w:color w:val="auto"/>
                <w:szCs w:val="21"/>
                <w:highlight w:val="none"/>
              </w:rPr>
              <w:t>旅游管理</w:t>
            </w:r>
          </w:p>
        </w:tc>
        <w:tc>
          <w:tcPr>
            <w:tcW w:w="4431" w:type="dxa"/>
            <w:tcBorders>
              <w:tl2br w:val="nil"/>
              <w:tr2bl w:val="nil"/>
            </w:tcBorders>
            <w:vAlign w:val="center"/>
          </w:tcPr>
          <w:p>
            <w:pPr>
              <w:adjustRightInd w:val="0"/>
              <w:snapToGrid w:val="0"/>
              <w:spacing w:line="0" w:lineRule="atLeast"/>
              <w:jc w:val="center"/>
              <w:rPr>
                <w:rFonts w:ascii="宋体" w:hAnsi="宋体" w:cs="宋体"/>
                <w:color w:val="auto"/>
                <w:szCs w:val="21"/>
                <w:highlight w:val="none"/>
              </w:rPr>
            </w:pPr>
            <w:r>
              <w:rPr>
                <w:rFonts w:hint="eastAsia" w:ascii="宋体" w:hAnsi="宋体" w:cs="宋体"/>
                <w:color w:val="auto"/>
                <w:szCs w:val="21"/>
                <w:highlight w:val="none"/>
              </w:rPr>
              <w:t>校一流专业培育项目</w:t>
            </w:r>
          </w:p>
        </w:tc>
        <w:tc>
          <w:tcPr>
            <w:tcW w:w="2478" w:type="dxa"/>
            <w:vMerge w:val="continue"/>
            <w:tcBorders>
              <w:tl2br w:val="nil"/>
              <w:tr2bl w:val="nil"/>
            </w:tcBorders>
            <w:vAlign w:val="center"/>
          </w:tcPr>
          <w:p>
            <w:pPr>
              <w:adjustRightInd w:val="0"/>
              <w:snapToGrid w:val="0"/>
              <w:spacing w:line="0" w:lineRule="atLeast"/>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79" w:type="dxa"/>
            <w:bottom w:w="0" w:type="dxa"/>
            <w:right w:w="79" w:type="dxa"/>
          </w:tblCellMar>
        </w:tblPrEx>
        <w:trPr>
          <w:trHeight w:val="441" w:hRule="atLeast"/>
          <w:jc w:val="center"/>
        </w:trPr>
        <w:tc>
          <w:tcPr>
            <w:tcW w:w="624" w:type="dxa"/>
            <w:vMerge w:val="continue"/>
            <w:tcBorders>
              <w:tl2br w:val="nil"/>
              <w:tr2bl w:val="nil"/>
            </w:tcBorders>
            <w:vAlign w:val="center"/>
          </w:tcPr>
          <w:p>
            <w:pPr>
              <w:adjustRightInd w:val="0"/>
              <w:snapToGrid w:val="0"/>
              <w:spacing w:line="0" w:lineRule="atLeast"/>
              <w:rPr>
                <w:rFonts w:ascii="宋体" w:hAnsi="宋体" w:cs="宋体"/>
                <w:color w:val="auto"/>
                <w:szCs w:val="21"/>
                <w:highlight w:val="none"/>
              </w:rPr>
            </w:pPr>
          </w:p>
        </w:tc>
        <w:tc>
          <w:tcPr>
            <w:tcW w:w="1708" w:type="dxa"/>
            <w:tcBorders>
              <w:tl2br w:val="nil"/>
              <w:tr2bl w:val="nil"/>
            </w:tcBorders>
            <w:vAlign w:val="center"/>
          </w:tcPr>
          <w:p>
            <w:pPr>
              <w:adjustRightInd w:val="0"/>
              <w:snapToGrid w:val="0"/>
              <w:spacing w:line="0" w:lineRule="atLeast"/>
              <w:jc w:val="center"/>
              <w:rPr>
                <w:rFonts w:ascii="宋体" w:hAnsi="宋体" w:cs="宋体"/>
                <w:color w:val="auto"/>
                <w:szCs w:val="21"/>
                <w:highlight w:val="none"/>
              </w:rPr>
            </w:pPr>
            <w:r>
              <w:rPr>
                <w:rFonts w:hint="eastAsia" w:ascii="宋体" w:hAnsi="宋体" w:cs="宋体"/>
                <w:color w:val="auto"/>
                <w:szCs w:val="21"/>
                <w:highlight w:val="none"/>
              </w:rPr>
              <w:t>知识产权</w:t>
            </w:r>
          </w:p>
        </w:tc>
        <w:tc>
          <w:tcPr>
            <w:tcW w:w="4431" w:type="dxa"/>
            <w:tcBorders>
              <w:tl2br w:val="nil"/>
              <w:tr2bl w:val="nil"/>
            </w:tcBorders>
            <w:vAlign w:val="center"/>
          </w:tcPr>
          <w:p>
            <w:pPr>
              <w:adjustRightInd w:val="0"/>
              <w:snapToGrid w:val="0"/>
              <w:spacing w:line="0" w:lineRule="atLeast"/>
              <w:jc w:val="center"/>
              <w:rPr>
                <w:rFonts w:ascii="宋体" w:hAnsi="宋体" w:cs="宋体"/>
                <w:color w:val="auto"/>
                <w:szCs w:val="21"/>
                <w:highlight w:val="none"/>
              </w:rPr>
            </w:pPr>
            <w:r>
              <w:rPr>
                <w:rFonts w:hint="eastAsia" w:ascii="宋体" w:hAnsi="宋体" w:cs="宋体"/>
                <w:color w:val="auto"/>
                <w:szCs w:val="21"/>
                <w:highlight w:val="none"/>
              </w:rPr>
              <w:t>院重点专业</w:t>
            </w:r>
          </w:p>
        </w:tc>
        <w:tc>
          <w:tcPr>
            <w:tcW w:w="2478" w:type="dxa"/>
            <w:vMerge w:val="continue"/>
            <w:tcBorders>
              <w:tl2br w:val="nil"/>
              <w:tr2bl w:val="nil"/>
            </w:tcBorders>
            <w:vAlign w:val="center"/>
          </w:tcPr>
          <w:p>
            <w:pPr>
              <w:adjustRightInd w:val="0"/>
              <w:snapToGrid w:val="0"/>
              <w:spacing w:line="0" w:lineRule="atLeast"/>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trHeight w:val="1132" w:hRule="atLeast"/>
          <w:jc w:val="center"/>
        </w:trPr>
        <w:tc>
          <w:tcPr>
            <w:tcW w:w="624" w:type="dxa"/>
            <w:tcBorders>
              <w:tl2br w:val="nil"/>
              <w:tr2bl w:val="nil"/>
            </w:tcBorders>
            <w:vAlign w:val="center"/>
          </w:tcPr>
          <w:p>
            <w:pPr>
              <w:adjustRightInd w:val="0"/>
              <w:snapToGrid w:val="0"/>
              <w:spacing w:line="0" w:lineRule="atLeast"/>
              <w:jc w:val="center"/>
              <w:rPr>
                <w:rFonts w:ascii="宋体" w:hAnsi="宋体" w:cs="宋体"/>
                <w:color w:val="auto"/>
                <w:szCs w:val="21"/>
                <w:highlight w:val="none"/>
              </w:rPr>
            </w:pPr>
            <w:r>
              <w:rPr>
                <w:rFonts w:hint="eastAsia" w:ascii="宋体" w:hAnsi="宋体" w:cs="宋体"/>
                <w:color w:val="auto"/>
                <w:szCs w:val="21"/>
                <w:highlight w:val="none"/>
              </w:rPr>
              <w:t>马克</w:t>
            </w:r>
          </w:p>
          <w:p>
            <w:pPr>
              <w:adjustRightInd w:val="0"/>
              <w:snapToGrid w:val="0"/>
              <w:spacing w:line="0" w:lineRule="atLeast"/>
              <w:jc w:val="center"/>
              <w:rPr>
                <w:rFonts w:ascii="宋体" w:hAnsi="宋体" w:cs="宋体"/>
                <w:color w:val="auto"/>
                <w:szCs w:val="21"/>
                <w:highlight w:val="none"/>
              </w:rPr>
            </w:pPr>
            <w:r>
              <w:rPr>
                <w:rFonts w:hint="eastAsia" w:ascii="宋体" w:hAnsi="宋体" w:cs="宋体"/>
                <w:color w:val="auto"/>
                <w:szCs w:val="21"/>
                <w:highlight w:val="none"/>
              </w:rPr>
              <w:t>思主</w:t>
            </w:r>
          </w:p>
          <w:p>
            <w:pPr>
              <w:adjustRightInd w:val="0"/>
              <w:snapToGrid w:val="0"/>
              <w:spacing w:line="0" w:lineRule="atLeast"/>
              <w:jc w:val="center"/>
              <w:rPr>
                <w:rFonts w:ascii="宋体" w:hAnsi="宋体" w:cs="宋体"/>
                <w:color w:val="auto"/>
                <w:szCs w:val="21"/>
                <w:highlight w:val="none"/>
              </w:rPr>
            </w:pPr>
            <w:r>
              <w:rPr>
                <w:rFonts w:hint="eastAsia" w:ascii="宋体" w:hAnsi="宋体" w:cs="宋体"/>
                <w:color w:val="auto"/>
                <w:szCs w:val="21"/>
                <w:highlight w:val="none"/>
              </w:rPr>
              <w:t>义学</w:t>
            </w:r>
          </w:p>
          <w:p>
            <w:pPr>
              <w:adjustRightInd w:val="0"/>
              <w:snapToGrid w:val="0"/>
              <w:spacing w:line="0" w:lineRule="atLeast"/>
              <w:jc w:val="center"/>
              <w:rPr>
                <w:rFonts w:ascii="宋体" w:hAnsi="宋体" w:cs="宋体"/>
                <w:color w:val="auto"/>
                <w:szCs w:val="21"/>
                <w:highlight w:val="none"/>
              </w:rPr>
            </w:pPr>
            <w:r>
              <w:rPr>
                <w:rFonts w:hint="eastAsia" w:ascii="宋体" w:hAnsi="宋体" w:cs="宋体"/>
                <w:color w:val="auto"/>
                <w:szCs w:val="21"/>
                <w:highlight w:val="none"/>
              </w:rPr>
              <w:t>院</w:t>
            </w:r>
          </w:p>
        </w:tc>
        <w:tc>
          <w:tcPr>
            <w:tcW w:w="1708" w:type="dxa"/>
            <w:tcBorders>
              <w:tl2br w:val="nil"/>
              <w:tr2bl w:val="nil"/>
            </w:tcBorders>
            <w:vAlign w:val="center"/>
          </w:tcPr>
          <w:p>
            <w:pPr>
              <w:adjustRightInd w:val="0"/>
              <w:snapToGrid w:val="0"/>
              <w:spacing w:line="0" w:lineRule="atLeast"/>
              <w:jc w:val="center"/>
              <w:rPr>
                <w:rFonts w:ascii="宋体" w:hAnsi="宋体" w:cs="宋体"/>
                <w:color w:val="auto"/>
                <w:szCs w:val="21"/>
                <w:highlight w:val="none"/>
              </w:rPr>
            </w:pPr>
            <w:r>
              <w:rPr>
                <w:rFonts w:hint="eastAsia" w:ascii="宋体" w:hAnsi="宋体" w:cs="宋体"/>
                <w:color w:val="auto"/>
                <w:szCs w:val="21"/>
                <w:highlight w:val="none"/>
              </w:rPr>
              <w:t>思想政治教育</w:t>
            </w:r>
          </w:p>
        </w:tc>
        <w:tc>
          <w:tcPr>
            <w:tcW w:w="4431" w:type="dxa"/>
            <w:tcBorders>
              <w:tl2br w:val="nil"/>
              <w:tr2bl w:val="nil"/>
            </w:tcBorders>
            <w:vAlign w:val="center"/>
          </w:tcPr>
          <w:p>
            <w:pPr>
              <w:adjustRightInd w:val="0"/>
              <w:snapToGrid w:val="0"/>
              <w:spacing w:line="0" w:lineRule="atLeast"/>
              <w:jc w:val="center"/>
              <w:rPr>
                <w:rFonts w:ascii="宋体" w:hAnsi="宋体" w:cs="宋体"/>
                <w:color w:val="auto"/>
                <w:szCs w:val="21"/>
                <w:highlight w:val="none"/>
              </w:rPr>
            </w:pPr>
            <w:r>
              <w:rPr>
                <w:rFonts w:hint="eastAsia" w:ascii="宋体" w:hAnsi="宋体" w:cs="宋体"/>
                <w:color w:val="auto"/>
                <w:szCs w:val="21"/>
                <w:highlight w:val="none"/>
              </w:rPr>
              <w:t>省一流专业建设点、校一流专业培育项目</w:t>
            </w:r>
          </w:p>
        </w:tc>
        <w:tc>
          <w:tcPr>
            <w:tcW w:w="2478" w:type="dxa"/>
            <w:tcBorders>
              <w:tl2br w:val="nil"/>
              <w:tr2bl w:val="nil"/>
            </w:tcBorders>
            <w:vAlign w:val="center"/>
          </w:tcPr>
          <w:p>
            <w:pPr>
              <w:adjustRightInd w:val="0"/>
              <w:snapToGrid w:val="0"/>
              <w:spacing w:line="0" w:lineRule="atLeast"/>
              <w:jc w:val="center"/>
              <w:rPr>
                <w:rFonts w:ascii="宋体" w:hAnsi="宋体" w:cs="宋体"/>
                <w:color w:val="auto"/>
                <w:spacing w:val="-6"/>
                <w:szCs w:val="21"/>
                <w:highlight w:val="none"/>
              </w:rPr>
            </w:pPr>
            <w:r>
              <w:rPr>
                <w:rFonts w:hint="eastAsia" w:ascii="宋体" w:hAnsi="宋体" w:cs="宋体"/>
                <w:color w:val="auto"/>
                <w:spacing w:val="-6"/>
                <w:szCs w:val="21"/>
                <w:highlight w:val="none"/>
              </w:rPr>
              <w:t>“两山”理念研究院入选省新型高校智库、市重点学科、校重点学科（马克思主义理论）</w:t>
            </w:r>
          </w:p>
          <w:p>
            <w:pPr>
              <w:adjustRightInd w:val="0"/>
              <w:snapToGrid w:val="0"/>
              <w:spacing w:line="0" w:lineRule="atLeast"/>
              <w:jc w:val="center"/>
              <w:rPr>
                <w:rFonts w:ascii="宋体" w:hAnsi="宋体" w:cs="宋体"/>
                <w:color w:val="auto"/>
                <w:szCs w:val="21"/>
                <w:highlight w:val="none"/>
              </w:rPr>
            </w:pPr>
            <w:r>
              <w:rPr>
                <w:rFonts w:hint="eastAsia" w:ascii="宋体" w:hAnsi="宋体" w:cs="宋体"/>
                <w:color w:val="auto"/>
                <w:szCs w:val="21"/>
                <w:highlight w:val="none"/>
              </w:rPr>
              <w:t>湖州市委宣传部与学校共建马克思主义讲习所</w:t>
            </w:r>
          </w:p>
        </w:tc>
      </w:tr>
    </w:tbl>
    <w:p>
      <w:pPr>
        <w:rPr>
          <w:color w:val="auto"/>
          <w:highlight w:val="none"/>
        </w:rPr>
      </w:pPr>
      <w:r>
        <w:rPr>
          <w:color w:val="auto"/>
          <w:highlight w:val="none"/>
        </w:rPr>
        <w:br w:type="page"/>
      </w:r>
    </w:p>
    <w:p>
      <w:pPr>
        <w:rPr>
          <w:color w:val="auto"/>
          <w:highlight w:val="none"/>
        </w:rPr>
      </w:pPr>
    </w:p>
    <w:p>
      <w:pPr>
        <w:rPr>
          <w:color w:val="auto"/>
          <w:highlight w:val="none"/>
        </w:rPr>
      </w:pPr>
      <w:r>
        <w:rPr>
          <w:rFonts w:hint="eastAsia"/>
          <w:color w:val="auto"/>
          <w:highlight w:val="none"/>
        </w:rPr>
        <w:t xml:space="preserve">    续表1：</w:t>
      </w:r>
    </w:p>
    <w:tbl>
      <w:tblPr>
        <w:tblStyle w:val="9"/>
        <w:tblW w:w="925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1" w:type="dxa"/>
          <w:bottom w:w="0" w:type="dxa"/>
          <w:right w:w="51" w:type="dxa"/>
        </w:tblCellMar>
      </w:tblPr>
      <w:tblGrid>
        <w:gridCol w:w="625"/>
        <w:gridCol w:w="1711"/>
        <w:gridCol w:w="4440"/>
        <w:gridCol w:w="248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trHeight w:val="581" w:hRule="atLeast"/>
          <w:jc w:val="center"/>
        </w:trPr>
        <w:tc>
          <w:tcPr>
            <w:tcW w:w="625" w:type="dxa"/>
            <w:tcBorders>
              <w:tl2br w:val="nil"/>
              <w:tr2bl w:val="nil"/>
            </w:tcBorders>
            <w:vAlign w:val="center"/>
          </w:tcPr>
          <w:p>
            <w:pPr>
              <w:adjustRightInd w:val="0"/>
              <w:snapToGrid w:val="0"/>
              <w:spacing w:line="0" w:lineRule="atLeast"/>
              <w:jc w:val="center"/>
              <w:rPr>
                <w:rFonts w:ascii="黑体" w:hAnsi="黑体" w:eastAsia="黑体" w:cs="黑体"/>
                <w:color w:val="auto"/>
                <w:szCs w:val="21"/>
                <w:highlight w:val="none"/>
              </w:rPr>
            </w:pPr>
            <w:r>
              <w:rPr>
                <w:rFonts w:hint="eastAsia" w:ascii="黑体" w:hAnsi="黑体" w:eastAsia="黑体" w:cs="黑体"/>
                <w:color w:val="auto"/>
                <w:szCs w:val="21"/>
                <w:highlight w:val="none"/>
              </w:rPr>
              <w:t>二级</w:t>
            </w:r>
          </w:p>
          <w:p>
            <w:pPr>
              <w:adjustRightInd w:val="0"/>
              <w:snapToGrid w:val="0"/>
              <w:spacing w:line="0" w:lineRule="atLeast"/>
              <w:jc w:val="center"/>
              <w:rPr>
                <w:rFonts w:ascii="宋体" w:hAnsi="宋体" w:cs="宋体"/>
                <w:color w:val="auto"/>
                <w:szCs w:val="21"/>
                <w:highlight w:val="none"/>
              </w:rPr>
            </w:pPr>
            <w:r>
              <w:rPr>
                <w:rFonts w:hint="eastAsia" w:ascii="黑体" w:hAnsi="黑体" w:eastAsia="黑体" w:cs="黑体"/>
                <w:color w:val="auto"/>
                <w:szCs w:val="21"/>
                <w:highlight w:val="none"/>
              </w:rPr>
              <w:t>学院</w:t>
            </w:r>
          </w:p>
        </w:tc>
        <w:tc>
          <w:tcPr>
            <w:tcW w:w="1711" w:type="dxa"/>
            <w:tcBorders>
              <w:tl2br w:val="nil"/>
              <w:tr2bl w:val="nil"/>
            </w:tcBorders>
            <w:vAlign w:val="center"/>
          </w:tcPr>
          <w:p>
            <w:pPr>
              <w:adjustRightInd w:val="0"/>
              <w:snapToGrid w:val="0"/>
              <w:spacing w:line="0" w:lineRule="atLeast"/>
              <w:jc w:val="center"/>
              <w:rPr>
                <w:rFonts w:ascii="宋体" w:hAnsi="宋体" w:cs="宋体"/>
                <w:color w:val="auto"/>
                <w:szCs w:val="21"/>
                <w:highlight w:val="none"/>
              </w:rPr>
            </w:pPr>
            <w:r>
              <w:rPr>
                <w:rFonts w:hint="eastAsia" w:ascii="黑体" w:hAnsi="黑体" w:eastAsia="黑体" w:cs="黑体"/>
                <w:color w:val="auto"/>
                <w:szCs w:val="21"/>
                <w:highlight w:val="none"/>
              </w:rPr>
              <w:t>专业</w:t>
            </w:r>
          </w:p>
        </w:tc>
        <w:tc>
          <w:tcPr>
            <w:tcW w:w="4440" w:type="dxa"/>
            <w:tcBorders>
              <w:tl2br w:val="nil"/>
              <w:tr2bl w:val="nil"/>
            </w:tcBorders>
            <w:vAlign w:val="center"/>
          </w:tcPr>
          <w:p>
            <w:pPr>
              <w:adjustRightInd w:val="0"/>
              <w:snapToGrid w:val="0"/>
              <w:spacing w:line="0" w:lineRule="atLeast"/>
              <w:jc w:val="center"/>
              <w:rPr>
                <w:rFonts w:ascii="宋体" w:hAnsi="宋体" w:cs="宋体"/>
                <w:color w:val="auto"/>
                <w:szCs w:val="21"/>
                <w:highlight w:val="none"/>
              </w:rPr>
            </w:pPr>
            <w:r>
              <w:rPr>
                <w:rFonts w:hint="eastAsia" w:ascii="黑体" w:hAnsi="黑体" w:eastAsia="黑体" w:cs="黑体"/>
                <w:color w:val="auto"/>
                <w:szCs w:val="21"/>
                <w:highlight w:val="none"/>
              </w:rPr>
              <w:t>专业建设项目</w:t>
            </w:r>
          </w:p>
        </w:tc>
        <w:tc>
          <w:tcPr>
            <w:tcW w:w="2483" w:type="dxa"/>
            <w:tcBorders>
              <w:tl2br w:val="nil"/>
              <w:tr2bl w:val="nil"/>
            </w:tcBorders>
            <w:vAlign w:val="center"/>
          </w:tcPr>
          <w:p>
            <w:pPr>
              <w:adjustRightInd w:val="0"/>
              <w:snapToGrid w:val="0"/>
              <w:spacing w:line="0" w:lineRule="atLeast"/>
              <w:jc w:val="center"/>
              <w:rPr>
                <w:rFonts w:ascii="宋体" w:hAnsi="宋体" w:cs="宋体"/>
                <w:color w:val="auto"/>
                <w:szCs w:val="21"/>
                <w:highlight w:val="none"/>
              </w:rPr>
            </w:pPr>
            <w:r>
              <w:rPr>
                <w:rFonts w:hint="eastAsia" w:ascii="黑体" w:hAnsi="黑体" w:eastAsia="黑体" w:cs="黑体"/>
                <w:color w:val="auto"/>
                <w:szCs w:val="21"/>
                <w:highlight w:val="none"/>
              </w:rPr>
              <w:t>学科与平台支撑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trHeight w:val="1185" w:hRule="atLeast"/>
          <w:jc w:val="center"/>
        </w:trPr>
        <w:tc>
          <w:tcPr>
            <w:tcW w:w="625" w:type="dxa"/>
            <w:vMerge w:val="restart"/>
            <w:tcBorders>
              <w:tl2br w:val="nil"/>
              <w:tr2bl w:val="nil"/>
            </w:tcBorders>
            <w:vAlign w:val="center"/>
          </w:tcPr>
          <w:p>
            <w:pPr>
              <w:adjustRightInd w:val="0"/>
              <w:snapToGrid w:val="0"/>
              <w:spacing w:line="0" w:lineRule="atLeast"/>
              <w:jc w:val="center"/>
              <w:rPr>
                <w:rFonts w:ascii="宋体" w:hAnsi="宋体" w:cs="宋体"/>
                <w:color w:val="auto"/>
                <w:szCs w:val="21"/>
                <w:highlight w:val="none"/>
              </w:rPr>
            </w:pPr>
            <w:r>
              <w:rPr>
                <w:rFonts w:hint="eastAsia" w:ascii="宋体" w:hAnsi="宋体" w:cs="宋体"/>
                <w:color w:val="auto"/>
                <w:szCs w:val="21"/>
                <w:highlight w:val="none"/>
              </w:rPr>
              <w:t>教师</w:t>
            </w:r>
          </w:p>
          <w:p>
            <w:pPr>
              <w:adjustRightInd w:val="0"/>
              <w:snapToGrid w:val="0"/>
              <w:spacing w:line="0" w:lineRule="atLeast"/>
              <w:jc w:val="center"/>
              <w:rPr>
                <w:rFonts w:ascii="宋体" w:hAnsi="宋体" w:cs="宋体"/>
                <w:color w:val="auto"/>
                <w:szCs w:val="21"/>
                <w:highlight w:val="none"/>
              </w:rPr>
            </w:pPr>
            <w:r>
              <w:rPr>
                <w:rFonts w:hint="eastAsia" w:ascii="宋体" w:hAnsi="宋体" w:cs="宋体"/>
                <w:color w:val="auto"/>
                <w:szCs w:val="21"/>
                <w:highlight w:val="none"/>
              </w:rPr>
              <w:t>教育</w:t>
            </w:r>
          </w:p>
          <w:p>
            <w:pPr>
              <w:adjustRightInd w:val="0"/>
              <w:snapToGrid w:val="0"/>
              <w:spacing w:line="0" w:lineRule="atLeast"/>
              <w:jc w:val="center"/>
              <w:rPr>
                <w:rFonts w:ascii="宋体" w:hAnsi="宋体" w:cs="宋体"/>
                <w:color w:val="auto"/>
                <w:szCs w:val="21"/>
                <w:highlight w:val="none"/>
              </w:rPr>
            </w:pPr>
            <w:r>
              <w:rPr>
                <w:rFonts w:hint="eastAsia" w:ascii="宋体" w:hAnsi="宋体" w:cs="宋体"/>
                <w:color w:val="auto"/>
                <w:szCs w:val="21"/>
                <w:highlight w:val="none"/>
              </w:rPr>
              <w:t>学院</w:t>
            </w:r>
          </w:p>
        </w:tc>
        <w:tc>
          <w:tcPr>
            <w:tcW w:w="1711" w:type="dxa"/>
            <w:tcBorders>
              <w:tl2br w:val="nil"/>
              <w:tr2bl w:val="nil"/>
            </w:tcBorders>
            <w:vAlign w:val="center"/>
          </w:tcPr>
          <w:p>
            <w:pPr>
              <w:adjustRightInd w:val="0"/>
              <w:snapToGrid w:val="0"/>
              <w:spacing w:line="0" w:lineRule="atLeast"/>
              <w:jc w:val="center"/>
              <w:rPr>
                <w:rFonts w:ascii="宋体" w:hAnsi="宋体" w:cs="宋体"/>
                <w:color w:val="auto"/>
                <w:szCs w:val="21"/>
                <w:highlight w:val="none"/>
              </w:rPr>
            </w:pPr>
            <w:r>
              <w:rPr>
                <w:rFonts w:hint="eastAsia" w:ascii="宋体" w:hAnsi="宋体" w:cs="宋体"/>
                <w:color w:val="auto"/>
                <w:szCs w:val="21"/>
                <w:highlight w:val="none"/>
              </w:rPr>
              <w:t>小学教育</w:t>
            </w:r>
          </w:p>
        </w:tc>
        <w:tc>
          <w:tcPr>
            <w:tcW w:w="4440" w:type="dxa"/>
            <w:tcBorders>
              <w:tl2br w:val="nil"/>
              <w:tr2bl w:val="nil"/>
            </w:tcBorders>
            <w:vAlign w:val="center"/>
          </w:tcPr>
          <w:p>
            <w:pPr>
              <w:adjustRightInd w:val="0"/>
              <w:snapToGrid w:val="0"/>
              <w:spacing w:line="0" w:lineRule="atLeast"/>
              <w:jc w:val="center"/>
              <w:rPr>
                <w:rFonts w:ascii="宋体" w:hAnsi="宋体" w:cs="宋体"/>
                <w:color w:val="auto"/>
                <w:szCs w:val="21"/>
                <w:highlight w:val="none"/>
              </w:rPr>
            </w:pPr>
            <w:r>
              <w:rPr>
                <w:rFonts w:hint="eastAsia" w:ascii="宋体" w:hAnsi="宋体" w:cs="宋体"/>
                <w:color w:val="auto"/>
                <w:szCs w:val="21"/>
                <w:highlight w:val="none"/>
              </w:rPr>
              <w:t>国家级特色专业、省一流专业建设点、“十二五”和“十三</w:t>
            </w:r>
            <w:r>
              <w:rPr>
                <w:rFonts w:hint="eastAsia" w:ascii="宋体" w:hAnsi="宋体" w:cs="宋体"/>
                <w:color w:val="auto"/>
                <w:spacing w:val="-6"/>
                <w:szCs w:val="21"/>
                <w:highlight w:val="none"/>
              </w:rPr>
              <w:t>五”省优势专业、省级重点专业、省“十三五”师范教育创新工程建设项目、省“十二五”重点建设教师培养基地项目、校一流专业培育项目</w:t>
            </w:r>
          </w:p>
        </w:tc>
        <w:tc>
          <w:tcPr>
            <w:tcW w:w="2483" w:type="dxa"/>
            <w:vMerge w:val="restart"/>
            <w:tcBorders>
              <w:tl2br w:val="nil"/>
              <w:tr2bl w:val="nil"/>
            </w:tcBorders>
            <w:vAlign w:val="center"/>
          </w:tcPr>
          <w:p>
            <w:pPr>
              <w:adjustRightInd w:val="0"/>
              <w:snapToGrid w:val="0"/>
              <w:spacing w:line="0" w:lineRule="atLeast"/>
              <w:jc w:val="center"/>
              <w:rPr>
                <w:rFonts w:ascii="宋体" w:hAnsi="宋体" w:cs="宋体"/>
                <w:color w:val="auto"/>
                <w:szCs w:val="21"/>
                <w:highlight w:val="none"/>
              </w:rPr>
            </w:pPr>
            <w:r>
              <w:rPr>
                <w:rFonts w:hint="eastAsia" w:ascii="宋体" w:hAnsi="宋体" w:cs="宋体"/>
                <w:color w:val="auto"/>
                <w:szCs w:val="21"/>
                <w:highlight w:val="none"/>
              </w:rPr>
              <w:t>教育学一级学科硕士点、教育硕士专业学位点、省乡村教育研究中心、省2011协同分中心（浙江省卓越教师培养协同创新分中心）、省级实验教学示范中心（教师教育实验教学中心）、市重点学科、校重点学科（教育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trHeight w:val="917" w:hRule="atLeast"/>
          <w:jc w:val="center"/>
        </w:trPr>
        <w:tc>
          <w:tcPr>
            <w:tcW w:w="625" w:type="dxa"/>
            <w:vMerge w:val="continue"/>
            <w:tcBorders>
              <w:tl2br w:val="nil"/>
              <w:tr2bl w:val="nil"/>
            </w:tcBorders>
            <w:vAlign w:val="center"/>
          </w:tcPr>
          <w:p>
            <w:pPr>
              <w:adjustRightInd w:val="0"/>
              <w:snapToGrid w:val="0"/>
              <w:spacing w:line="0" w:lineRule="atLeast"/>
              <w:jc w:val="center"/>
              <w:rPr>
                <w:rFonts w:ascii="宋体" w:hAnsi="宋体" w:cs="宋体"/>
                <w:color w:val="auto"/>
                <w:szCs w:val="21"/>
                <w:highlight w:val="none"/>
              </w:rPr>
            </w:pPr>
          </w:p>
        </w:tc>
        <w:tc>
          <w:tcPr>
            <w:tcW w:w="1711" w:type="dxa"/>
            <w:tcBorders>
              <w:tl2br w:val="nil"/>
              <w:tr2bl w:val="nil"/>
            </w:tcBorders>
            <w:vAlign w:val="center"/>
          </w:tcPr>
          <w:p>
            <w:pPr>
              <w:adjustRightInd w:val="0"/>
              <w:snapToGrid w:val="0"/>
              <w:spacing w:line="0" w:lineRule="atLeast"/>
              <w:jc w:val="center"/>
              <w:rPr>
                <w:rFonts w:ascii="宋体" w:hAnsi="宋体" w:cs="宋体"/>
                <w:color w:val="auto"/>
                <w:szCs w:val="21"/>
                <w:highlight w:val="none"/>
              </w:rPr>
            </w:pPr>
            <w:r>
              <w:rPr>
                <w:rFonts w:hint="eastAsia" w:ascii="宋体" w:hAnsi="宋体" w:cs="宋体"/>
                <w:color w:val="auto"/>
                <w:szCs w:val="21"/>
                <w:highlight w:val="none"/>
              </w:rPr>
              <w:t>学前教育</w:t>
            </w:r>
          </w:p>
        </w:tc>
        <w:tc>
          <w:tcPr>
            <w:tcW w:w="4440" w:type="dxa"/>
            <w:tcBorders>
              <w:tl2br w:val="nil"/>
              <w:tr2bl w:val="nil"/>
            </w:tcBorders>
            <w:vAlign w:val="center"/>
          </w:tcPr>
          <w:p>
            <w:pPr>
              <w:adjustRightInd w:val="0"/>
              <w:snapToGrid w:val="0"/>
              <w:spacing w:line="0" w:lineRule="atLeast"/>
              <w:jc w:val="center"/>
              <w:rPr>
                <w:rFonts w:ascii="宋体" w:hAnsi="宋体" w:cs="宋体"/>
                <w:color w:val="auto"/>
                <w:szCs w:val="21"/>
                <w:highlight w:val="none"/>
              </w:rPr>
            </w:pPr>
            <w:r>
              <w:rPr>
                <w:rFonts w:hint="eastAsia" w:ascii="宋体" w:hAnsi="宋体" w:cs="宋体"/>
                <w:color w:val="auto"/>
                <w:szCs w:val="21"/>
                <w:highlight w:val="none"/>
              </w:rPr>
              <w:t>省“十三五”师范教育创新工程建设项目、省“十二五”重点建设教师培养基地项目、校一流专业培育项目</w:t>
            </w:r>
          </w:p>
        </w:tc>
        <w:tc>
          <w:tcPr>
            <w:tcW w:w="2483" w:type="dxa"/>
            <w:vMerge w:val="continue"/>
            <w:tcBorders>
              <w:tl2br w:val="nil"/>
              <w:tr2bl w:val="nil"/>
            </w:tcBorders>
            <w:vAlign w:val="center"/>
          </w:tcPr>
          <w:p>
            <w:pPr>
              <w:adjustRightInd w:val="0"/>
              <w:snapToGrid w:val="0"/>
              <w:spacing w:line="0" w:lineRule="atLeast"/>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trHeight w:val="484" w:hRule="atLeast"/>
          <w:jc w:val="center"/>
        </w:trPr>
        <w:tc>
          <w:tcPr>
            <w:tcW w:w="625" w:type="dxa"/>
            <w:vMerge w:val="continue"/>
            <w:tcBorders>
              <w:tl2br w:val="nil"/>
              <w:tr2bl w:val="nil"/>
            </w:tcBorders>
            <w:vAlign w:val="center"/>
          </w:tcPr>
          <w:p>
            <w:pPr>
              <w:adjustRightInd w:val="0"/>
              <w:snapToGrid w:val="0"/>
              <w:spacing w:line="0" w:lineRule="atLeast"/>
              <w:jc w:val="center"/>
              <w:rPr>
                <w:rFonts w:ascii="宋体" w:hAnsi="宋体" w:cs="宋体"/>
                <w:color w:val="auto"/>
                <w:szCs w:val="21"/>
                <w:highlight w:val="none"/>
              </w:rPr>
            </w:pPr>
          </w:p>
        </w:tc>
        <w:tc>
          <w:tcPr>
            <w:tcW w:w="1711" w:type="dxa"/>
            <w:tcBorders>
              <w:tl2br w:val="nil"/>
              <w:tr2bl w:val="nil"/>
            </w:tcBorders>
            <w:vAlign w:val="center"/>
          </w:tcPr>
          <w:p>
            <w:pPr>
              <w:adjustRightInd w:val="0"/>
              <w:snapToGrid w:val="0"/>
              <w:spacing w:line="0" w:lineRule="atLeast"/>
              <w:jc w:val="center"/>
              <w:rPr>
                <w:rFonts w:ascii="宋体" w:hAnsi="宋体" w:cs="宋体"/>
                <w:color w:val="auto"/>
                <w:szCs w:val="21"/>
                <w:highlight w:val="none"/>
              </w:rPr>
            </w:pPr>
            <w:r>
              <w:rPr>
                <w:rFonts w:hint="eastAsia" w:ascii="宋体" w:hAnsi="宋体" w:cs="宋体"/>
                <w:color w:val="auto"/>
                <w:szCs w:val="21"/>
                <w:highlight w:val="none"/>
              </w:rPr>
              <w:t>教育技术学</w:t>
            </w:r>
          </w:p>
        </w:tc>
        <w:tc>
          <w:tcPr>
            <w:tcW w:w="4440" w:type="dxa"/>
            <w:tcBorders>
              <w:tl2br w:val="nil"/>
              <w:tr2bl w:val="nil"/>
            </w:tcBorders>
            <w:vAlign w:val="center"/>
          </w:tcPr>
          <w:p>
            <w:pPr>
              <w:adjustRightInd w:val="0"/>
              <w:snapToGrid w:val="0"/>
              <w:spacing w:line="0" w:lineRule="atLeast"/>
              <w:jc w:val="center"/>
              <w:rPr>
                <w:rFonts w:ascii="宋体" w:hAnsi="宋体" w:cs="宋体"/>
                <w:color w:val="auto"/>
                <w:szCs w:val="21"/>
                <w:highlight w:val="none"/>
              </w:rPr>
            </w:pPr>
            <w:r>
              <w:rPr>
                <w:rFonts w:hint="eastAsia" w:ascii="宋体" w:hAnsi="宋体" w:cs="宋体"/>
                <w:color w:val="auto"/>
                <w:szCs w:val="21"/>
                <w:highlight w:val="none"/>
              </w:rPr>
              <w:t>院重点专业、校一流专业培育项目</w:t>
            </w:r>
          </w:p>
        </w:tc>
        <w:tc>
          <w:tcPr>
            <w:tcW w:w="2483" w:type="dxa"/>
            <w:vMerge w:val="continue"/>
            <w:tcBorders>
              <w:tl2br w:val="nil"/>
              <w:tr2bl w:val="nil"/>
            </w:tcBorders>
            <w:vAlign w:val="center"/>
          </w:tcPr>
          <w:p>
            <w:pPr>
              <w:adjustRightInd w:val="0"/>
              <w:snapToGrid w:val="0"/>
              <w:spacing w:line="0" w:lineRule="atLeast"/>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trHeight w:val="495" w:hRule="atLeast"/>
          <w:jc w:val="center"/>
        </w:trPr>
        <w:tc>
          <w:tcPr>
            <w:tcW w:w="625" w:type="dxa"/>
            <w:vMerge w:val="continue"/>
            <w:tcBorders>
              <w:tl2br w:val="nil"/>
              <w:tr2bl w:val="nil"/>
            </w:tcBorders>
            <w:vAlign w:val="center"/>
          </w:tcPr>
          <w:p>
            <w:pPr>
              <w:adjustRightInd w:val="0"/>
              <w:snapToGrid w:val="0"/>
              <w:spacing w:line="0" w:lineRule="atLeast"/>
              <w:jc w:val="center"/>
              <w:rPr>
                <w:rFonts w:ascii="宋体" w:hAnsi="宋体" w:cs="宋体"/>
                <w:color w:val="auto"/>
                <w:szCs w:val="21"/>
                <w:highlight w:val="none"/>
              </w:rPr>
            </w:pPr>
          </w:p>
        </w:tc>
        <w:tc>
          <w:tcPr>
            <w:tcW w:w="1711" w:type="dxa"/>
            <w:tcBorders>
              <w:tl2br w:val="nil"/>
              <w:tr2bl w:val="nil"/>
            </w:tcBorders>
            <w:vAlign w:val="center"/>
          </w:tcPr>
          <w:p>
            <w:pPr>
              <w:adjustRightInd w:val="0"/>
              <w:snapToGrid w:val="0"/>
              <w:spacing w:line="0" w:lineRule="atLeast"/>
              <w:jc w:val="center"/>
              <w:rPr>
                <w:rFonts w:ascii="宋体" w:hAnsi="宋体" w:cs="宋体"/>
                <w:color w:val="auto"/>
                <w:szCs w:val="21"/>
                <w:highlight w:val="none"/>
              </w:rPr>
            </w:pPr>
            <w:r>
              <w:rPr>
                <w:rFonts w:hint="eastAsia" w:ascii="宋体" w:hAnsi="宋体" w:cs="宋体"/>
                <w:color w:val="auto"/>
                <w:szCs w:val="21"/>
                <w:highlight w:val="none"/>
              </w:rPr>
              <w:t>应用心理学</w:t>
            </w:r>
          </w:p>
        </w:tc>
        <w:tc>
          <w:tcPr>
            <w:tcW w:w="4440" w:type="dxa"/>
            <w:tcBorders>
              <w:tl2br w:val="nil"/>
              <w:tr2bl w:val="nil"/>
            </w:tcBorders>
            <w:vAlign w:val="center"/>
          </w:tcPr>
          <w:p>
            <w:pPr>
              <w:adjustRightInd w:val="0"/>
              <w:snapToGrid w:val="0"/>
              <w:spacing w:line="0" w:lineRule="atLeast"/>
              <w:jc w:val="center"/>
              <w:rPr>
                <w:rFonts w:ascii="宋体" w:hAnsi="宋体" w:cs="宋体"/>
                <w:color w:val="auto"/>
                <w:szCs w:val="21"/>
                <w:highlight w:val="none"/>
              </w:rPr>
            </w:pPr>
            <w:r>
              <w:rPr>
                <w:rFonts w:hint="eastAsia" w:ascii="宋体" w:hAnsi="宋体" w:cs="宋体"/>
                <w:color w:val="auto"/>
                <w:szCs w:val="21"/>
                <w:highlight w:val="none"/>
              </w:rPr>
              <w:t>校重点专业</w:t>
            </w:r>
          </w:p>
        </w:tc>
        <w:tc>
          <w:tcPr>
            <w:tcW w:w="2483" w:type="dxa"/>
            <w:vMerge w:val="continue"/>
            <w:tcBorders>
              <w:tl2br w:val="nil"/>
              <w:tr2bl w:val="nil"/>
            </w:tcBorders>
            <w:vAlign w:val="center"/>
          </w:tcPr>
          <w:p>
            <w:pPr>
              <w:adjustRightInd w:val="0"/>
              <w:snapToGrid w:val="0"/>
              <w:spacing w:line="0" w:lineRule="atLeast"/>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trHeight w:val="561" w:hRule="atLeast"/>
          <w:jc w:val="center"/>
        </w:trPr>
        <w:tc>
          <w:tcPr>
            <w:tcW w:w="625" w:type="dxa"/>
            <w:tcBorders>
              <w:tl2br w:val="nil"/>
              <w:tr2bl w:val="nil"/>
            </w:tcBorders>
            <w:vAlign w:val="center"/>
          </w:tcPr>
          <w:p>
            <w:pPr>
              <w:adjustRightInd w:val="0"/>
              <w:snapToGrid w:val="0"/>
              <w:spacing w:line="0" w:lineRule="atLeast"/>
              <w:jc w:val="center"/>
              <w:rPr>
                <w:rFonts w:ascii="宋体" w:hAnsi="宋体" w:cs="宋体"/>
                <w:color w:val="auto"/>
                <w:szCs w:val="21"/>
                <w:highlight w:val="none"/>
              </w:rPr>
            </w:pPr>
            <w:r>
              <w:rPr>
                <w:rFonts w:hint="eastAsia" w:ascii="宋体" w:hAnsi="宋体" w:cs="宋体"/>
                <w:color w:val="auto"/>
                <w:szCs w:val="21"/>
                <w:highlight w:val="none"/>
              </w:rPr>
              <w:t>体育</w:t>
            </w:r>
          </w:p>
          <w:p>
            <w:pPr>
              <w:adjustRightInd w:val="0"/>
              <w:snapToGrid w:val="0"/>
              <w:spacing w:line="0" w:lineRule="atLeast"/>
              <w:jc w:val="center"/>
              <w:rPr>
                <w:rFonts w:ascii="宋体" w:hAnsi="宋体" w:cs="宋体"/>
                <w:color w:val="auto"/>
                <w:szCs w:val="21"/>
                <w:highlight w:val="none"/>
              </w:rPr>
            </w:pPr>
            <w:r>
              <w:rPr>
                <w:rFonts w:hint="eastAsia" w:ascii="宋体" w:hAnsi="宋体" w:cs="宋体"/>
                <w:color w:val="auto"/>
                <w:szCs w:val="21"/>
                <w:highlight w:val="none"/>
              </w:rPr>
              <w:t>学院</w:t>
            </w:r>
          </w:p>
        </w:tc>
        <w:tc>
          <w:tcPr>
            <w:tcW w:w="1711" w:type="dxa"/>
            <w:tcBorders>
              <w:tl2br w:val="nil"/>
              <w:tr2bl w:val="nil"/>
            </w:tcBorders>
            <w:vAlign w:val="center"/>
          </w:tcPr>
          <w:p>
            <w:pPr>
              <w:adjustRightInd w:val="0"/>
              <w:snapToGrid w:val="0"/>
              <w:spacing w:line="0" w:lineRule="atLeast"/>
              <w:jc w:val="center"/>
              <w:rPr>
                <w:rFonts w:ascii="宋体" w:hAnsi="宋体" w:cs="宋体"/>
                <w:color w:val="auto"/>
                <w:szCs w:val="21"/>
                <w:highlight w:val="none"/>
              </w:rPr>
            </w:pPr>
            <w:r>
              <w:rPr>
                <w:rFonts w:hint="eastAsia" w:ascii="宋体" w:hAnsi="宋体" w:cs="宋体"/>
                <w:color w:val="auto"/>
                <w:szCs w:val="21"/>
                <w:highlight w:val="none"/>
              </w:rPr>
              <w:t>体育教育</w:t>
            </w:r>
          </w:p>
        </w:tc>
        <w:tc>
          <w:tcPr>
            <w:tcW w:w="4440" w:type="dxa"/>
            <w:tcBorders>
              <w:tl2br w:val="nil"/>
              <w:tr2bl w:val="nil"/>
            </w:tcBorders>
            <w:vAlign w:val="center"/>
          </w:tcPr>
          <w:p>
            <w:pPr>
              <w:adjustRightInd w:val="0"/>
              <w:snapToGrid w:val="0"/>
              <w:spacing w:line="0" w:lineRule="atLeast"/>
              <w:jc w:val="center"/>
              <w:rPr>
                <w:rFonts w:ascii="宋体" w:hAnsi="宋体" w:cs="宋体"/>
                <w:color w:val="auto"/>
                <w:szCs w:val="21"/>
                <w:highlight w:val="none"/>
              </w:rPr>
            </w:pPr>
            <w:r>
              <w:rPr>
                <w:rFonts w:hint="eastAsia" w:ascii="宋体" w:hAnsi="宋体" w:cs="宋体"/>
                <w:color w:val="auto"/>
                <w:szCs w:val="21"/>
                <w:highlight w:val="none"/>
              </w:rPr>
              <w:t>校重点专业、校一流专业培育项目</w:t>
            </w:r>
          </w:p>
        </w:tc>
        <w:tc>
          <w:tcPr>
            <w:tcW w:w="2483" w:type="dxa"/>
            <w:tcBorders>
              <w:tl2br w:val="nil"/>
              <w:tr2bl w:val="nil"/>
            </w:tcBorders>
            <w:vAlign w:val="center"/>
          </w:tcPr>
          <w:p>
            <w:pPr>
              <w:adjustRightInd w:val="0"/>
              <w:snapToGrid w:val="0"/>
              <w:spacing w:line="0" w:lineRule="atLeast"/>
              <w:jc w:val="center"/>
              <w:rPr>
                <w:rFonts w:ascii="宋体" w:hAnsi="宋体" w:cs="宋体"/>
                <w:color w:val="auto"/>
                <w:szCs w:val="21"/>
                <w:highlight w:val="none"/>
              </w:rPr>
            </w:pPr>
            <w:r>
              <w:rPr>
                <w:rFonts w:hint="eastAsia" w:ascii="宋体" w:hAnsi="宋体" w:cs="宋体"/>
                <w:color w:val="auto"/>
                <w:szCs w:val="21"/>
                <w:highlight w:val="none"/>
              </w:rPr>
              <w:t>校特色学科（体育学）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trHeight w:val="431" w:hRule="atLeast"/>
          <w:jc w:val="center"/>
        </w:trPr>
        <w:tc>
          <w:tcPr>
            <w:tcW w:w="625" w:type="dxa"/>
            <w:vMerge w:val="restart"/>
            <w:tcBorders>
              <w:tl2br w:val="nil"/>
              <w:tr2bl w:val="nil"/>
            </w:tcBorders>
            <w:vAlign w:val="center"/>
          </w:tcPr>
          <w:p>
            <w:pPr>
              <w:adjustRightInd w:val="0"/>
              <w:snapToGrid w:val="0"/>
              <w:spacing w:line="0" w:lineRule="atLeast"/>
              <w:jc w:val="center"/>
              <w:rPr>
                <w:rFonts w:ascii="宋体" w:hAnsi="宋体" w:cs="宋体"/>
                <w:color w:val="auto"/>
                <w:szCs w:val="21"/>
                <w:highlight w:val="none"/>
              </w:rPr>
            </w:pPr>
            <w:r>
              <w:rPr>
                <w:rFonts w:hint="eastAsia" w:ascii="宋体" w:hAnsi="宋体" w:cs="宋体"/>
                <w:color w:val="auto"/>
                <w:szCs w:val="21"/>
                <w:highlight w:val="none"/>
              </w:rPr>
              <w:t>人文</w:t>
            </w:r>
          </w:p>
          <w:p>
            <w:pPr>
              <w:adjustRightInd w:val="0"/>
              <w:snapToGrid w:val="0"/>
              <w:spacing w:line="0" w:lineRule="atLeast"/>
              <w:jc w:val="center"/>
              <w:rPr>
                <w:rFonts w:ascii="宋体" w:hAnsi="宋体" w:cs="宋体"/>
                <w:color w:val="auto"/>
                <w:szCs w:val="21"/>
                <w:highlight w:val="none"/>
              </w:rPr>
            </w:pPr>
            <w:r>
              <w:rPr>
                <w:rFonts w:hint="eastAsia" w:ascii="宋体" w:hAnsi="宋体" w:cs="宋体"/>
                <w:color w:val="auto"/>
                <w:szCs w:val="21"/>
                <w:highlight w:val="none"/>
              </w:rPr>
              <w:t>学院</w:t>
            </w:r>
          </w:p>
        </w:tc>
        <w:tc>
          <w:tcPr>
            <w:tcW w:w="1711" w:type="dxa"/>
            <w:tcBorders>
              <w:tl2br w:val="nil"/>
              <w:tr2bl w:val="nil"/>
            </w:tcBorders>
            <w:vAlign w:val="center"/>
          </w:tcPr>
          <w:p>
            <w:pPr>
              <w:adjustRightInd w:val="0"/>
              <w:snapToGrid w:val="0"/>
              <w:spacing w:line="0" w:lineRule="atLeast"/>
              <w:jc w:val="center"/>
              <w:rPr>
                <w:rFonts w:ascii="宋体" w:hAnsi="宋体" w:cs="宋体"/>
                <w:color w:val="auto"/>
                <w:szCs w:val="21"/>
                <w:highlight w:val="none"/>
              </w:rPr>
            </w:pPr>
            <w:r>
              <w:rPr>
                <w:rFonts w:hint="eastAsia" w:ascii="宋体" w:hAnsi="宋体" w:cs="宋体"/>
                <w:color w:val="auto"/>
                <w:szCs w:val="21"/>
                <w:highlight w:val="none"/>
              </w:rPr>
              <w:t>汉语言文学</w:t>
            </w:r>
          </w:p>
        </w:tc>
        <w:tc>
          <w:tcPr>
            <w:tcW w:w="4440" w:type="dxa"/>
            <w:tcBorders>
              <w:tl2br w:val="nil"/>
              <w:tr2bl w:val="nil"/>
            </w:tcBorders>
            <w:vAlign w:val="center"/>
          </w:tcPr>
          <w:p>
            <w:pPr>
              <w:adjustRightInd w:val="0"/>
              <w:snapToGrid w:val="0"/>
              <w:spacing w:line="0" w:lineRule="atLeast"/>
              <w:jc w:val="center"/>
              <w:rPr>
                <w:rFonts w:ascii="宋体" w:hAnsi="宋体" w:cs="宋体"/>
                <w:color w:val="auto"/>
                <w:szCs w:val="21"/>
                <w:highlight w:val="none"/>
              </w:rPr>
            </w:pPr>
            <w:r>
              <w:rPr>
                <w:rFonts w:hint="eastAsia" w:ascii="宋体" w:hAnsi="宋体" w:cs="宋体"/>
                <w:color w:val="auto"/>
                <w:spacing w:val="-6"/>
                <w:szCs w:val="21"/>
                <w:highlight w:val="none"/>
              </w:rPr>
              <w:t>省级重点专业、市重点专业、校一流专业培育项目</w:t>
            </w:r>
          </w:p>
        </w:tc>
        <w:tc>
          <w:tcPr>
            <w:tcW w:w="2483" w:type="dxa"/>
            <w:vMerge w:val="restart"/>
            <w:tcBorders>
              <w:tl2br w:val="nil"/>
              <w:tr2bl w:val="nil"/>
            </w:tcBorders>
            <w:vAlign w:val="center"/>
          </w:tcPr>
          <w:p>
            <w:pPr>
              <w:adjustRightInd w:val="0"/>
              <w:snapToGrid w:val="0"/>
              <w:spacing w:line="0" w:lineRule="atLeast"/>
              <w:jc w:val="center"/>
              <w:rPr>
                <w:rFonts w:ascii="宋体" w:hAnsi="宋体" w:cs="宋体"/>
                <w:color w:val="auto"/>
                <w:szCs w:val="21"/>
                <w:highlight w:val="none"/>
              </w:rPr>
            </w:pPr>
            <w:r>
              <w:rPr>
                <w:rFonts w:hint="eastAsia" w:ascii="宋体" w:hAnsi="宋体" w:cs="宋体"/>
                <w:color w:val="auto"/>
                <w:szCs w:val="21"/>
                <w:highlight w:val="none"/>
              </w:rPr>
              <w:t>“中共湖州市委宣传部 湖州师范学院共建文学院（新闻学科）”“十三五”省一流学科（中国语言文学）、校特色学科（中国史）</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trHeight w:val="431" w:hRule="atLeast"/>
          <w:jc w:val="center"/>
        </w:trPr>
        <w:tc>
          <w:tcPr>
            <w:tcW w:w="625" w:type="dxa"/>
            <w:vMerge w:val="continue"/>
            <w:tcBorders>
              <w:tl2br w:val="nil"/>
              <w:tr2bl w:val="nil"/>
            </w:tcBorders>
            <w:vAlign w:val="center"/>
          </w:tcPr>
          <w:p>
            <w:pPr>
              <w:adjustRightInd w:val="0"/>
              <w:snapToGrid w:val="0"/>
              <w:spacing w:line="0" w:lineRule="atLeast"/>
              <w:rPr>
                <w:rFonts w:ascii="宋体" w:hAnsi="宋体" w:cs="宋体"/>
                <w:color w:val="auto"/>
                <w:szCs w:val="21"/>
                <w:highlight w:val="none"/>
              </w:rPr>
            </w:pPr>
          </w:p>
        </w:tc>
        <w:tc>
          <w:tcPr>
            <w:tcW w:w="1711" w:type="dxa"/>
            <w:tcBorders>
              <w:tl2br w:val="nil"/>
              <w:tr2bl w:val="nil"/>
            </w:tcBorders>
            <w:vAlign w:val="center"/>
          </w:tcPr>
          <w:p>
            <w:pPr>
              <w:adjustRightInd w:val="0"/>
              <w:snapToGrid w:val="0"/>
              <w:spacing w:line="0" w:lineRule="atLeast"/>
              <w:jc w:val="center"/>
              <w:rPr>
                <w:rFonts w:ascii="宋体" w:hAnsi="宋体" w:cs="宋体"/>
                <w:color w:val="auto"/>
                <w:szCs w:val="21"/>
                <w:highlight w:val="none"/>
              </w:rPr>
            </w:pPr>
            <w:r>
              <w:rPr>
                <w:rFonts w:hint="eastAsia" w:ascii="宋体" w:hAnsi="宋体" w:cs="宋体"/>
                <w:color w:val="auto"/>
                <w:szCs w:val="21"/>
                <w:highlight w:val="none"/>
              </w:rPr>
              <w:t>广告学</w:t>
            </w:r>
          </w:p>
        </w:tc>
        <w:tc>
          <w:tcPr>
            <w:tcW w:w="4440" w:type="dxa"/>
            <w:tcBorders>
              <w:tl2br w:val="nil"/>
              <w:tr2bl w:val="nil"/>
            </w:tcBorders>
            <w:vAlign w:val="center"/>
          </w:tcPr>
          <w:p>
            <w:pPr>
              <w:adjustRightInd w:val="0"/>
              <w:snapToGrid w:val="0"/>
              <w:spacing w:line="0" w:lineRule="atLeast"/>
              <w:jc w:val="center"/>
              <w:rPr>
                <w:rFonts w:ascii="宋体" w:hAnsi="宋体" w:cs="宋体"/>
                <w:color w:val="auto"/>
                <w:szCs w:val="21"/>
                <w:highlight w:val="none"/>
              </w:rPr>
            </w:pPr>
            <w:r>
              <w:rPr>
                <w:rFonts w:hint="eastAsia" w:ascii="宋体" w:hAnsi="宋体" w:cs="宋体"/>
                <w:color w:val="auto"/>
                <w:szCs w:val="21"/>
                <w:highlight w:val="none"/>
              </w:rPr>
              <w:t>2017年停招</w:t>
            </w:r>
          </w:p>
        </w:tc>
        <w:tc>
          <w:tcPr>
            <w:tcW w:w="2483" w:type="dxa"/>
            <w:vMerge w:val="continue"/>
            <w:tcBorders>
              <w:tl2br w:val="nil"/>
              <w:tr2bl w:val="nil"/>
            </w:tcBorders>
            <w:vAlign w:val="center"/>
          </w:tcPr>
          <w:p>
            <w:pPr>
              <w:adjustRightInd w:val="0"/>
              <w:snapToGrid w:val="0"/>
              <w:spacing w:line="0" w:lineRule="atLeast"/>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trHeight w:val="431" w:hRule="atLeast"/>
          <w:jc w:val="center"/>
        </w:trPr>
        <w:tc>
          <w:tcPr>
            <w:tcW w:w="625" w:type="dxa"/>
            <w:vMerge w:val="continue"/>
            <w:tcBorders>
              <w:tl2br w:val="nil"/>
              <w:tr2bl w:val="nil"/>
            </w:tcBorders>
            <w:vAlign w:val="center"/>
          </w:tcPr>
          <w:p>
            <w:pPr>
              <w:adjustRightInd w:val="0"/>
              <w:snapToGrid w:val="0"/>
              <w:spacing w:line="0" w:lineRule="atLeast"/>
              <w:rPr>
                <w:rFonts w:ascii="宋体" w:hAnsi="宋体" w:cs="宋体"/>
                <w:color w:val="auto"/>
                <w:szCs w:val="21"/>
                <w:highlight w:val="none"/>
              </w:rPr>
            </w:pPr>
          </w:p>
        </w:tc>
        <w:tc>
          <w:tcPr>
            <w:tcW w:w="1711" w:type="dxa"/>
            <w:tcBorders>
              <w:tl2br w:val="nil"/>
              <w:tr2bl w:val="nil"/>
            </w:tcBorders>
            <w:vAlign w:val="center"/>
          </w:tcPr>
          <w:p>
            <w:pPr>
              <w:adjustRightInd w:val="0"/>
              <w:snapToGrid w:val="0"/>
              <w:spacing w:line="0" w:lineRule="atLeast"/>
              <w:jc w:val="center"/>
              <w:rPr>
                <w:rFonts w:ascii="宋体" w:hAnsi="宋体" w:cs="宋体"/>
                <w:color w:val="auto"/>
                <w:szCs w:val="21"/>
                <w:highlight w:val="none"/>
              </w:rPr>
            </w:pPr>
            <w:r>
              <w:rPr>
                <w:rFonts w:hint="eastAsia" w:ascii="宋体" w:hAnsi="宋体" w:cs="宋体"/>
                <w:color w:val="auto"/>
                <w:szCs w:val="21"/>
                <w:highlight w:val="none"/>
              </w:rPr>
              <w:t>新闻学</w:t>
            </w:r>
          </w:p>
        </w:tc>
        <w:tc>
          <w:tcPr>
            <w:tcW w:w="4440" w:type="dxa"/>
            <w:tcBorders>
              <w:tl2br w:val="nil"/>
              <w:tr2bl w:val="nil"/>
            </w:tcBorders>
            <w:vAlign w:val="center"/>
          </w:tcPr>
          <w:p>
            <w:pPr>
              <w:adjustRightInd w:val="0"/>
              <w:snapToGrid w:val="0"/>
              <w:spacing w:line="0" w:lineRule="atLeast"/>
              <w:jc w:val="center"/>
              <w:rPr>
                <w:rFonts w:ascii="宋体" w:hAnsi="宋体" w:cs="宋体"/>
                <w:color w:val="auto"/>
                <w:szCs w:val="21"/>
                <w:highlight w:val="none"/>
              </w:rPr>
            </w:pPr>
            <w:r>
              <w:rPr>
                <w:rFonts w:hint="eastAsia" w:ascii="宋体" w:hAnsi="宋体" w:cs="宋体"/>
                <w:color w:val="auto"/>
                <w:szCs w:val="21"/>
                <w:highlight w:val="none"/>
              </w:rPr>
              <w:t>校一流专业培育项目</w:t>
            </w:r>
          </w:p>
        </w:tc>
        <w:tc>
          <w:tcPr>
            <w:tcW w:w="2483" w:type="dxa"/>
            <w:vMerge w:val="continue"/>
            <w:tcBorders>
              <w:tl2br w:val="nil"/>
              <w:tr2bl w:val="nil"/>
            </w:tcBorders>
            <w:vAlign w:val="center"/>
          </w:tcPr>
          <w:p>
            <w:pPr>
              <w:adjustRightInd w:val="0"/>
              <w:snapToGrid w:val="0"/>
              <w:spacing w:line="0" w:lineRule="atLeast"/>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trHeight w:val="431" w:hRule="atLeast"/>
          <w:jc w:val="center"/>
        </w:trPr>
        <w:tc>
          <w:tcPr>
            <w:tcW w:w="625" w:type="dxa"/>
            <w:vMerge w:val="continue"/>
            <w:tcBorders>
              <w:tl2br w:val="nil"/>
              <w:tr2bl w:val="nil"/>
            </w:tcBorders>
            <w:vAlign w:val="center"/>
          </w:tcPr>
          <w:p>
            <w:pPr>
              <w:adjustRightInd w:val="0"/>
              <w:snapToGrid w:val="0"/>
              <w:spacing w:line="0" w:lineRule="atLeast"/>
              <w:rPr>
                <w:rFonts w:ascii="宋体" w:hAnsi="宋体" w:cs="宋体"/>
                <w:color w:val="auto"/>
                <w:szCs w:val="21"/>
                <w:highlight w:val="none"/>
              </w:rPr>
            </w:pPr>
          </w:p>
        </w:tc>
        <w:tc>
          <w:tcPr>
            <w:tcW w:w="1711" w:type="dxa"/>
            <w:tcBorders>
              <w:tl2br w:val="nil"/>
              <w:tr2bl w:val="nil"/>
            </w:tcBorders>
            <w:vAlign w:val="center"/>
          </w:tcPr>
          <w:p>
            <w:pPr>
              <w:adjustRightInd w:val="0"/>
              <w:snapToGrid w:val="0"/>
              <w:spacing w:line="0" w:lineRule="atLeast"/>
              <w:jc w:val="center"/>
              <w:rPr>
                <w:rFonts w:ascii="宋体" w:hAnsi="宋体" w:cs="宋体"/>
                <w:color w:val="auto"/>
                <w:szCs w:val="21"/>
                <w:highlight w:val="none"/>
              </w:rPr>
            </w:pPr>
            <w:r>
              <w:rPr>
                <w:rFonts w:hint="eastAsia" w:ascii="宋体" w:hAnsi="宋体" w:cs="宋体"/>
                <w:color w:val="auto"/>
                <w:szCs w:val="21"/>
                <w:highlight w:val="none"/>
              </w:rPr>
              <w:t>汉语国际教育</w:t>
            </w:r>
          </w:p>
        </w:tc>
        <w:tc>
          <w:tcPr>
            <w:tcW w:w="4440" w:type="dxa"/>
            <w:tcBorders>
              <w:tl2br w:val="nil"/>
              <w:tr2bl w:val="nil"/>
            </w:tcBorders>
            <w:vAlign w:val="center"/>
          </w:tcPr>
          <w:p>
            <w:pPr>
              <w:adjustRightInd w:val="0"/>
              <w:snapToGrid w:val="0"/>
              <w:spacing w:line="0" w:lineRule="atLeast"/>
              <w:jc w:val="center"/>
              <w:rPr>
                <w:rFonts w:ascii="宋体" w:hAnsi="宋体" w:cs="宋体"/>
                <w:color w:val="auto"/>
                <w:szCs w:val="21"/>
                <w:highlight w:val="none"/>
              </w:rPr>
            </w:pPr>
            <w:r>
              <w:rPr>
                <w:rFonts w:hint="eastAsia" w:ascii="宋体" w:hAnsi="宋体" w:cs="宋体"/>
                <w:color w:val="auto"/>
                <w:szCs w:val="21"/>
                <w:highlight w:val="none"/>
              </w:rPr>
              <w:t>院重点专业、校一流专业培育项目</w:t>
            </w:r>
          </w:p>
        </w:tc>
        <w:tc>
          <w:tcPr>
            <w:tcW w:w="2483" w:type="dxa"/>
            <w:vMerge w:val="continue"/>
            <w:tcBorders>
              <w:tl2br w:val="nil"/>
              <w:tr2bl w:val="nil"/>
            </w:tcBorders>
            <w:vAlign w:val="center"/>
          </w:tcPr>
          <w:p>
            <w:pPr>
              <w:adjustRightInd w:val="0"/>
              <w:snapToGrid w:val="0"/>
              <w:spacing w:line="0" w:lineRule="atLeast"/>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trHeight w:val="454" w:hRule="atLeast"/>
          <w:jc w:val="center"/>
        </w:trPr>
        <w:tc>
          <w:tcPr>
            <w:tcW w:w="625" w:type="dxa"/>
            <w:vMerge w:val="continue"/>
            <w:tcBorders>
              <w:tl2br w:val="nil"/>
              <w:tr2bl w:val="nil"/>
            </w:tcBorders>
            <w:vAlign w:val="center"/>
          </w:tcPr>
          <w:p>
            <w:pPr>
              <w:adjustRightInd w:val="0"/>
              <w:snapToGrid w:val="0"/>
              <w:spacing w:line="0" w:lineRule="atLeast"/>
              <w:rPr>
                <w:rFonts w:ascii="宋体" w:hAnsi="宋体" w:cs="宋体"/>
                <w:color w:val="auto"/>
                <w:szCs w:val="21"/>
                <w:highlight w:val="none"/>
              </w:rPr>
            </w:pPr>
          </w:p>
        </w:tc>
        <w:tc>
          <w:tcPr>
            <w:tcW w:w="1711" w:type="dxa"/>
            <w:tcBorders>
              <w:tl2br w:val="nil"/>
              <w:tr2bl w:val="nil"/>
            </w:tcBorders>
            <w:vAlign w:val="center"/>
          </w:tcPr>
          <w:p>
            <w:pPr>
              <w:adjustRightInd w:val="0"/>
              <w:snapToGrid w:val="0"/>
              <w:spacing w:line="0" w:lineRule="atLeast"/>
              <w:jc w:val="center"/>
              <w:rPr>
                <w:rFonts w:ascii="宋体" w:hAnsi="宋体" w:cs="宋体"/>
                <w:color w:val="auto"/>
                <w:szCs w:val="21"/>
                <w:highlight w:val="none"/>
              </w:rPr>
            </w:pPr>
            <w:r>
              <w:rPr>
                <w:rFonts w:hint="eastAsia" w:ascii="宋体" w:hAnsi="宋体" w:cs="宋体"/>
                <w:color w:val="auto"/>
                <w:szCs w:val="21"/>
                <w:highlight w:val="none"/>
              </w:rPr>
              <w:t>历史学</w:t>
            </w:r>
          </w:p>
        </w:tc>
        <w:tc>
          <w:tcPr>
            <w:tcW w:w="4440" w:type="dxa"/>
            <w:tcBorders>
              <w:tl2br w:val="nil"/>
              <w:tr2bl w:val="nil"/>
            </w:tcBorders>
            <w:vAlign w:val="center"/>
          </w:tcPr>
          <w:p>
            <w:pPr>
              <w:adjustRightInd w:val="0"/>
              <w:snapToGrid w:val="0"/>
              <w:spacing w:line="0" w:lineRule="atLeast"/>
              <w:jc w:val="center"/>
              <w:rPr>
                <w:rFonts w:ascii="宋体" w:hAnsi="宋体" w:cs="宋体"/>
                <w:color w:val="auto"/>
                <w:szCs w:val="21"/>
                <w:highlight w:val="none"/>
              </w:rPr>
            </w:pPr>
            <w:r>
              <w:rPr>
                <w:rFonts w:hint="eastAsia" w:ascii="宋体" w:hAnsi="宋体" w:cs="宋体"/>
                <w:color w:val="auto"/>
                <w:szCs w:val="21"/>
                <w:highlight w:val="none"/>
              </w:rPr>
              <w:t>校一流专业培育项目</w:t>
            </w:r>
          </w:p>
        </w:tc>
        <w:tc>
          <w:tcPr>
            <w:tcW w:w="2483" w:type="dxa"/>
            <w:vMerge w:val="continue"/>
            <w:tcBorders>
              <w:tl2br w:val="nil"/>
              <w:tr2bl w:val="nil"/>
            </w:tcBorders>
            <w:vAlign w:val="center"/>
          </w:tcPr>
          <w:p>
            <w:pPr>
              <w:adjustRightInd w:val="0"/>
              <w:snapToGrid w:val="0"/>
              <w:spacing w:line="0" w:lineRule="atLeast"/>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trHeight w:val="445" w:hRule="atLeast"/>
          <w:jc w:val="center"/>
        </w:trPr>
        <w:tc>
          <w:tcPr>
            <w:tcW w:w="625" w:type="dxa"/>
            <w:vMerge w:val="restart"/>
            <w:tcBorders>
              <w:tl2br w:val="nil"/>
              <w:tr2bl w:val="nil"/>
            </w:tcBorders>
            <w:vAlign w:val="center"/>
          </w:tcPr>
          <w:p>
            <w:pPr>
              <w:adjustRightInd w:val="0"/>
              <w:snapToGrid w:val="0"/>
              <w:spacing w:line="0" w:lineRule="atLeast"/>
              <w:jc w:val="center"/>
              <w:rPr>
                <w:rFonts w:ascii="宋体" w:hAnsi="宋体" w:cs="宋体"/>
                <w:color w:val="auto"/>
                <w:szCs w:val="21"/>
                <w:highlight w:val="none"/>
              </w:rPr>
            </w:pPr>
            <w:r>
              <w:rPr>
                <w:rFonts w:hint="eastAsia" w:ascii="宋体" w:hAnsi="宋体" w:cs="宋体"/>
                <w:color w:val="auto"/>
                <w:szCs w:val="21"/>
                <w:highlight w:val="none"/>
              </w:rPr>
              <w:t>外国语学院</w:t>
            </w:r>
          </w:p>
        </w:tc>
        <w:tc>
          <w:tcPr>
            <w:tcW w:w="1711" w:type="dxa"/>
            <w:tcBorders>
              <w:tl2br w:val="nil"/>
              <w:tr2bl w:val="nil"/>
            </w:tcBorders>
            <w:vAlign w:val="center"/>
          </w:tcPr>
          <w:p>
            <w:pPr>
              <w:adjustRightInd w:val="0"/>
              <w:snapToGrid w:val="0"/>
              <w:spacing w:line="0" w:lineRule="atLeast"/>
              <w:jc w:val="center"/>
              <w:rPr>
                <w:rFonts w:ascii="宋体" w:hAnsi="宋体" w:cs="宋体"/>
                <w:color w:val="auto"/>
                <w:szCs w:val="21"/>
                <w:highlight w:val="none"/>
              </w:rPr>
            </w:pPr>
            <w:r>
              <w:rPr>
                <w:rFonts w:hint="eastAsia" w:ascii="宋体" w:hAnsi="宋体" w:cs="宋体"/>
                <w:color w:val="auto"/>
                <w:szCs w:val="21"/>
                <w:highlight w:val="none"/>
              </w:rPr>
              <w:t>英语</w:t>
            </w:r>
          </w:p>
        </w:tc>
        <w:tc>
          <w:tcPr>
            <w:tcW w:w="4440" w:type="dxa"/>
            <w:tcBorders>
              <w:tl2br w:val="nil"/>
              <w:tr2bl w:val="nil"/>
            </w:tcBorders>
            <w:vAlign w:val="center"/>
          </w:tcPr>
          <w:p>
            <w:pPr>
              <w:adjustRightInd w:val="0"/>
              <w:snapToGrid w:val="0"/>
              <w:spacing w:line="0" w:lineRule="atLeast"/>
              <w:jc w:val="center"/>
              <w:rPr>
                <w:rFonts w:ascii="宋体" w:hAnsi="宋体" w:cs="宋体"/>
                <w:color w:val="auto"/>
                <w:szCs w:val="21"/>
                <w:highlight w:val="none"/>
              </w:rPr>
            </w:pPr>
            <w:r>
              <w:rPr>
                <w:rFonts w:hint="eastAsia" w:ascii="宋体" w:hAnsi="宋体" w:cs="宋体"/>
                <w:color w:val="auto"/>
                <w:szCs w:val="21"/>
                <w:highlight w:val="none"/>
              </w:rPr>
              <w:t>省级重点专业、校一流专业培育项目</w:t>
            </w:r>
          </w:p>
        </w:tc>
        <w:tc>
          <w:tcPr>
            <w:tcW w:w="2483" w:type="dxa"/>
            <w:vMerge w:val="restart"/>
            <w:tcBorders>
              <w:tl2br w:val="nil"/>
              <w:tr2bl w:val="nil"/>
            </w:tcBorders>
            <w:vAlign w:val="center"/>
          </w:tcPr>
          <w:p>
            <w:pPr>
              <w:adjustRightInd w:val="0"/>
              <w:snapToGrid w:val="0"/>
              <w:spacing w:line="0" w:lineRule="atLeast"/>
              <w:jc w:val="center"/>
              <w:rPr>
                <w:rFonts w:ascii="宋体" w:hAnsi="宋体" w:cs="宋体"/>
                <w:color w:val="auto"/>
                <w:szCs w:val="21"/>
                <w:highlight w:val="none"/>
              </w:rPr>
            </w:pPr>
            <w:r>
              <w:rPr>
                <w:rFonts w:hint="eastAsia" w:ascii="宋体" w:hAnsi="宋体" w:cs="宋体"/>
                <w:color w:val="auto"/>
                <w:szCs w:val="21"/>
                <w:highlight w:val="none"/>
              </w:rPr>
              <w:t>省级实验教学示范中心（外语语言实验教学中心）、校特色学科（外国语言文学）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trHeight w:val="457" w:hRule="atLeast"/>
          <w:jc w:val="center"/>
        </w:trPr>
        <w:tc>
          <w:tcPr>
            <w:tcW w:w="625" w:type="dxa"/>
            <w:vMerge w:val="continue"/>
            <w:tcBorders>
              <w:tl2br w:val="nil"/>
              <w:tr2bl w:val="nil"/>
            </w:tcBorders>
            <w:vAlign w:val="center"/>
          </w:tcPr>
          <w:p>
            <w:pPr>
              <w:adjustRightInd w:val="0"/>
              <w:snapToGrid w:val="0"/>
              <w:spacing w:line="0" w:lineRule="atLeast"/>
              <w:jc w:val="center"/>
              <w:rPr>
                <w:rFonts w:ascii="宋体" w:hAnsi="宋体" w:cs="宋体"/>
                <w:color w:val="auto"/>
                <w:szCs w:val="21"/>
                <w:highlight w:val="none"/>
              </w:rPr>
            </w:pPr>
          </w:p>
        </w:tc>
        <w:tc>
          <w:tcPr>
            <w:tcW w:w="1711" w:type="dxa"/>
            <w:tcBorders>
              <w:tl2br w:val="nil"/>
              <w:tr2bl w:val="nil"/>
            </w:tcBorders>
            <w:vAlign w:val="center"/>
          </w:tcPr>
          <w:p>
            <w:pPr>
              <w:adjustRightInd w:val="0"/>
              <w:snapToGrid w:val="0"/>
              <w:spacing w:line="0" w:lineRule="atLeast"/>
              <w:jc w:val="center"/>
              <w:rPr>
                <w:rFonts w:ascii="宋体" w:hAnsi="宋体" w:cs="宋体"/>
                <w:color w:val="auto"/>
                <w:szCs w:val="21"/>
                <w:highlight w:val="none"/>
              </w:rPr>
            </w:pPr>
            <w:r>
              <w:rPr>
                <w:rFonts w:hint="eastAsia" w:ascii="宋体" w:hAnsi="宋体" w:cs="宋体"/>
                <w:color w:val="auto"/>
                <w:szCs w:val="21"/>
                <w:highlight w:val="none"/>
              </w:rPr>
              <w:t>日语</w:t>
            </w:r>
          </w:p>
        </w:tc>
        <w:tc>
          <w:tcPr>
            <w:tcW w:w="4440" w:type="dxa"/>
            <w:tcBorders>
              <w:tl2br w:val="nil"/>
              <w:tr2bl w:val="nil"/>
            </w:tcBorders>
            <w:vAlign w:val="center"/>
          </w:tcPr>
          <w:p>
            <w:pPr>
              <w:adjustRightInd w:val="0"/>
              <w:snapToGrid w:val="0"/>
              <w:spacing w:line="0" w:lineRule="atLeast"/>
              <w:jc w:val="center"/>
              <w:rPr>
                <w:rFonts w:ascii="宋体" w:hAnsi="宋体" w:cs="宋体"/>
                <w:color w:val="auto"/>
                <w:szCs w:val="21"/>
                <w:highlight w:val="none"/>
              </w:rPr>
            </w:pPr>
            <w:r>
              <w:rPr>
                <w:rFonts w:hint="eastAsia" w:ascii="宋体" w:hAnsi="宋体" w:cs="宋体"/>
                <w:color w:val="auto"/>
                <w:szCs w:val="21"/>
                <w:highlight w:val="none"/>
              </w:rPr>
              <w:t>院重点专业</w:t>
            </w:r>
          </w:p>
        </w:tc>
        <w:tc>
          <w:tcPr>
            <w:tcW w:w="2483" w:type="dxa"/>
            <w:vMerge w:val="continue"/>
            <w:tcBorders>
              <w:tl2br w:val="nil"/>
              <w:tr2bl w:val="nil"/>
            </w:tcBorders>
            <w:vAlign w:val="center"/>
          </w:tcPr>
          <w:p>
            <w:pPr>
              <w:adjustRightInd w:val="0"/>
              <w:snapToGrid w:val="0"/>
              <w:spacing w:line="0" w:lineRule="atLeast"/>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trHeight w:val="445" w:hRule="atLeast"/>
          <w:jc w:val="center"/>
        </w:trPr>
        <w:tc>
          <w:tcPr>
            <w:tcW w:w="625" w:type="dxa"/>
            <w:vMerge w:val="continue"/>
            <w:tcBorders>
              <w:tl2br w:val="nil"/>
              <w:tr2bl w:val="nil"/>
            </w:tcBorders>
            <w:vAlign w:val="center"/>
          </w:tcPr>
          <w:p>
            <w:pPr>
              <w:adjustRightInd w:val="0"/>
              <w:snapToGrid w:val="0"/>
              <w:spacing w:line="0" w:lineRule="atLeast"/>
              <w:jc w:val="center"/>
              <w:rPr>
                <w:rFonts w:ascii="宋体" w:hAnsi="宋体" w:cs="宋体"/>
                <w:color w:val="auto"/>
                <w:szCs w:val="21"/>
                <w:highlight w:val="none"/>
              </w:rPr>
            </w:pPr>
          </w:p>
        </w:tc>
        <w:tc>
          <w:tcPr>
            <w:tcW w:w="1711" w:type="dxa"/>
            <w:tcBorders>
              <w:tl2br w:val="nil"/>
              <w:tr2bl w:val="nil"/>
            </w:tcBorders>
            <w:vAlign w:val="center"/>
          </w:tcPr>
          <w:p>
            <w:pPr>
              <w:adjustRightInd w:val="0"/>
              <w:snapToGrid w:val="0"/>
              <w:spacing w:line="0" w:lineRule="atLeast"/>
              <w:jc w:val="center"/>
              <w:rPr>
                <w:rFonts w:ascii="宋体" w:hAnsi="宋体" w:cs="宋体"/>
                <w:color w:val="auto"/>
                <w:szCs w:val="21"/>
                <w:highlight w:val="none"/>
              </w:rPr>
            </w:pPr>
            <w:r>
              <w:rPr>
                <w:rFonts w:hint="eastAsia" w:ascii="宋体" w:hAnsi="宋体" w:cs="宋体"/>
                <w:color w:val="auto"/>
                <w:szCs w:val="21"/>
                <w:highlight w:val="none"/>
              </w:rPr>
              <w:t>商务英语</w:t>
            </w:r>
          </w:p>
        </w:tc>
        <w:tc>
          <w:tcPr>
            <w:tcW w:w="4440" w:type="dxa"/>
            <w:tcBorders>
              <w:tl2br w:val="nil"/>
              <w:tr2bl w:val="nil"/>
            </w:tcBorders>
            <w:vAlign w:val="center"/>
          </w:tcPr>
          <w:p>
            <w:pPr>
              <w:adjustRightInd w:val="0"/>
              <w:snapToGrid w:val="0"/>
              <w:spacing w:line="0" w:lineRule="atLeast"/>
              <w:jc w:val="center"/>
              <w:rPr>
                <w:rFonts w:ascii="宋体" w:hAnsi="宋体" w:cs="宋体"/>
                <w:color w:val="auto"/>
                <w:szCs w:val="21"/>
                <w:highlight w:val="none"/>
              </w:rPr>
            </w:pPr>
            <w:r>
              <w:rPr>
                <w:rFonts w:hint="eastAsia" w:ascii="宋体" w:hAnsi="宋体" w:cs="宋体"/>
                <w:color w:val="auto"/>
                <w:szCs w:val="21"/>
                <w:highlight w:val="none"/>
              </w:rPr>
              <w:t>2018年停招</w:t>
            </w:r>
          </w:p>
        </w:tc>
        <w:tc>
          <w:tcPr>
            <w:tcW w:w="2483" w:type="dxa"/>
            <w:vMerge w:val="continue"/>
            <w:tcBorders>
              <w:tl2br w:val="nil"/>
              <w:tr2bl w:val="nil"/>
            </w:tcBorders>
            <w:vAlign w:val="center"/>
          </w:tcPr>
          <w:p>
            <w:pPr>
              <w:adjustRightInd w:val="0"/>
              <w:snapToGrid w:val="0"/>
              <w:spacing w:line="0" w:lineRule="atLeast"/>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trHeight w:val="434" w:hRule="atLeast"/>
          <w:jc w:val="center"/>
        </w:trPr>
        <w:tc>
          <w:tcPr>
            <w:tcW w:w="625" w:type="dxa"/>
            <w:vMerge w:val="continue"/>
            <w:tcBorders>
              <w:tl2br w:val="nil"/>
              <w:tr2bl w:val="nil"/>
            </w:tcBorders>
            <w:vAlign w:val="center"/>
          </w:tcPr>
          <w:p>
            <w:pPr>
              <w:adjustRightInd w:val="0"/>
              <w:snapToGrid w:val="0"/>
              <w:spacing w:line="0" w:lineRule="atLeast"/>
              <w:jc w:val="center"/>
              <w:rPr>
                <w:rFonts w:ascii="宋体" w:hAnsi="宋体" w:cs="宋体"/>
                <w:color w:val="auto"/>
                <w:szCs w:val="21"/>
                <w:highlight w:val="none"/>
              </w:rPr>
            </w:pPr>
          </w:p>
        </w:tc>
        <w:tc>
          <w:tcPr>
            <w:tcW w:w="1711" w:type="dxa"/>
            <w:tcBorders>
              <w:tl2br w:val="nil"/>
              <w:tr2bl w:val="nil"/>
            </w:tcBorders>
            <w:vAlign w:val="center"/>
          </w:tcPr>
          <w:p>
            <w:pPr>
              <w:adjustRightInd w:val="0"/>
              <w:snapToGrid w:val="0"/>
              <w:spacing w:line="0" w:lineRule="atLeast"/>
              <w:jc w:val="center"/>
              <w:rPr>
                <w:rFonts w:ascii="宋体" w:hAnsi="宋体" w:cs="宋体"/>
                <w:color w:val="auto"/>
                <w:szCs w:val="21"/>
                <w:highlight w:val="none"/>
              </w:rPr>
            </w:pPr>
            <w:r>
              <w:rPr>
                <w:rFonts w:hint="eastAsia" w:ascii="宋体" w:hAnsi="宋体" w:cs="宋体"/>
                <w:color w:val="auto"/>
                <w:szCs w:val="21"/>
                <w:highlight w:val="none"/>
              </w:rPr>
              <w:t>俄语</w:t>
            </w:r>
          </w:p>
        </w:tc>
        <w:tc>
          <w:tcPr>
            <w:tcW w:w="4440" w:type="dxa"/>
            <w:tcBorders>
              <w:tl2br w:val="nil"/>
              <w:tr2bl w:val="nil"/>
            </w:tcBorders>
            <w:vAlign w:val="center"/>
          </w:tcPr>
          <w:p>
            <w:pPr>
              <w:adjustRightInd w:val="0"/>
              <w:snapToGrid w:val="0"/>
              <w:spacing w:line="0" w:lineRule="atLeast"/>
              <w:jc w:val="center"/>
              <w:rPr>
                <w:rFonts w:ascii="宋体" w:hAnsi="宋体" w:cs="宋体"/>
                <w:color w:val="auto"/>
                <w:szCs w:val="21"/>
                <w:highlight w:val="none"/>
              </w:rPr>
            </w:pPr>
            <w:r>
              <w:rPr>
                <w:rFonts w:hint="eastAsia" w:ascii="宋体" w:hAnsi="宋体" w:cs="宋体"/>
                <w:color w:val="auto"/>
                <w:szCs w:val="21"/>
                <w:highlight w:val="none"/>
              </w:rPr>
              <w:t>院重点专业</w:t>
            </w:r>
          </w:p>
        </w:tc>
        <w:tc>
          <w:tcPr>
            <w:tcW w:w="2483" w:type="dxa"/>
            <w:vMerge w:val="continue"/>
            <w:tcBorders>
              <w:tl2br w:val="nil"/>
              <w:tr2bl w:val="nil"/>
            </w:tcBorders>
            <w:vAlign w:val="center"/>
          </w:tcPr>
          <w:p>
            <w:pPr>
              <w:adjustRightInd w:val="0"/>
              <w:snapToGrid w:val="0"/>
              <w:spacing w:line="0" w:lineRule="atLeast"/>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trHeight w:val="561" w:hRule="atLeast"/>
          <w:jc w:val="center"/>
        </w:trPr>
        <w:tc>
          <w:tcPr>
            <w:tcW w:w="625" w:type="dxa"/>
            <w:vMerge w:val="restart"/>
            <w:tcBorders>
              <w:tl2br w:val="nil"/>
              <w:tr2bl w:val="nil"/>
            </w:tcBorders>
            <w:vAlign w:val="center"/>
          </w:tcPr>
          <w:p>
            <w:pPr>
              <w:adjustRightInd w:val="0"/>
              <w:snapToGrid w:val="0"/>
              <w:spacing w:line="0" w:lineRule="atLeast"/>
              <w:jc w:val="center"/>
              <w:rPr>
                <w:rFonts w:ascii="宋体" w:hAnsi="宋体" w:cs="宋体"/>
                <w:color w:val="auto"/>
                <w:szCs w:val="21"/>
                <w:highlight w:val="none"/>
              </w:rPr>
            </w:pPr>
            <w:r>
              <w:rPr>
                <w:rFonts w:hint="eastAsia" w:ascii="宋体" w:hAnsi="宋体" w:cs="宋体"/>
                <w:color w:val="auto"/>
                <w:szCs w:val="21"/>
                <w:highlight w:val="none"/>
              </w:rPr>
              <w:t>艺术</w:t>
            </w:r>
          </w:p>
          <w:p>
            <w:pPr>
              <w:adjustRightInd w:val="0"/>
              <w:snapToGrid w:val="0"/>
              <w:spacing w:line="0" w:lineRule="atLeast"/>
              <w:jc w:val="center"/>
              <w:rPr>
                <w:rFonts w:ascii="宋体" w:hAnsi="宋体" w:cs="宋体"/>
                <w:color w:val="auto"/>
                <w:szCs w:val="21"/>
                <w:highlight w:val="none"/>
              </w:rPr>
            </w:pPr>
            <w:r>
              <w:rPr>
                <w:rFonts w:hint="eastAsia" w:ascii="宋体" w:hAnsi="宋体" w:cs="宋体"/>
                <w:color w:val="auto"/>
                <w:szCs w:val="21"/>
                <w:highlight w:val="none"/>
              </w:rPr>
              <w:t>学院</w:t>
            </w:r>
          </w:p>
        </w:tc>
        <w:tc>
          <w:tcPr>
            <w:tcW w:w="1711" w:type="dxa"/>
            <w:tcBorders>
              <w:tl2br w:val="nil"/>
              <w:tr2bl w:val="nil"/>
            </w:tcBorders>
            <w:vAlign w:val="center"/>
          </w:tcPr>
          <w:p>
            <w:pPr>
              <w:adjustRightInd w:val="0"/>
              <w:snapToGrid w:val="0"/>
              <w:spacing w:line="0" w:lineRule="atLeast"/>
              <w:jc w:val="center"/>
              <w:rPr>
                <w:rFonts w:ascii="宋体" w:hAnsi="宋体" w:cs="宋体"/>
                <w:color w:val="auto"/>
                <w:szCs w:val="21"/>
                <w:highlight w:val="none"/>
              </w:rPr>
            </w:pPr>
            <w:r>
              <w:rPr>
                <w:rFonts w:hint="eastAsia" w:ascii="宋体" w:hAnsi="宋体" w:cs="宋体"/>
                <w:color w:val="auto"/>
                <w:szCs w:val="21"/>
                <w:highlight w:val="none"/>
              </w:rPr>
              <w:t>音乐学</w:t>
            </w:r>
          </w:p>
        </w:tc>
        <w:tc>
          <w:tcPr>
            <w:tcW w:w="4440" w:type="dxa"/>
            <w:tcBorders>
              <w:tl2br w:val="nil"/>
              <w:tr2bl w:val="nil"/>
            </w:tcBorders>
            <w:vAlign w:val="center"/>
          </w:tcPr>
          <w:p>
            <w:pPr>
              <w:adjustRightInd w:val="0"/>
              <w:snapToGrid w:val="0"/>
              <w:spacing w:line="0" w:lineRule="atLeast"/>
              <w:jc w:val="center"/>
              <w:rPr>
                <w:rFonts w:ascii="宋体" w:hAnsi="宋体" w:cs="宋体"/>
                <w:color w:val="auto"/>
                <w:szCs w:val="21"/>
                <w:highlight w:val="none"/>
              </w:rPr>
            </w:pPr>
            <w:r>
              <w:rPr>
                <w:rFonts w:hint="eastAsia" w:ascii="宋体" w:hAnsi="宋体" w:cs="宋体"/>
                <w:color w:val="auto"/>
                <w:szCs w:val="21"/>
                <w:highlight w:val="none"/>
              </w:rPr>
              <w:t>“十二五”省新兴特色专业、省级重点专业、校一流专业培育项目</w:t>
            </w:r>
          </w:p>
        </w:tc>
        <w:tc>
          <w:tcPr>
            <w:tcW w:w="2483" w:type="dxa"/>
            <w:vMerge w:val="restart"/>
            <w:tcBorders>
              <w:tl2br w:val="nil"/>
              <w:tr2bl w:val="nil"/>
            </w:tcBorders>
            <w:vAlign w:val="center"/>
          </w:tcPr>
          <w:p>
            <w:pPr>
              <w:adjustRightInd w:val="0"/>
              <w:snapToGrid w:val="0"/>
              <w:spacing w:line="0" w:lineRule="atLeast"/>
              <w:jc w:val="center"/>
              <w:rPr>
                <w:rFonts w:ascii="宋体" w:hAnsi="宋体" w:cs="宋体"/>
                <w:color w:val="auto"/>
                <w:szCs w:val="21"/>
                <w:highlight w:val="none"/>
              </w:rPr>
            </w:pPr>
            <w:r>
              <w:rPr>
                <w:rFonts w:hint="eastAsia" w:ascii="宋体" w:hAnsi="宋体" w:cs="宋体"/>
                <w:color w:val="auto"/>
                <w:szCs w:val="21"/>
                <w:highlight w:val="none"/>
              </w:rPr>
              <w:t>艺术硕士专业学位点、市重点学科、校特色学科（设计学）、校特色学科（音乐与舞蹈学）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trHeight w:val="462" w:hRule="atLeast"/>
          <w:jc w:val="center"/>
        </w:trPr>
        <w:tc>
          <w:tcPr>
            <w:tcW w:w="625" w:type="dxa"/>
            <w:vMerge w:val="continue"/>
            <w:tcBorders>
              <w:tl2br w:val="nil"/>
              <w:tr2bl w:val="nil"/>
            </w:tcBorders>
            <w:vAlign w:val="center"/>
          </w:tcPr>
          <w:p>
            <w:pPr>
              <w:adjustRightInd w:val="0"/>
              <w:snapToGrid w:val="0"/>
              <w:spacing w:line="0" w:lineRule="atLeast"/>
              <w:jc w:val="center"/>
              <w:rPr>
                <w:rFonts w:ascii="宋体" w:hAnsi="宋体" w:cs="宋体"/>
                <w:color w:val="auto"/>
                <w:szCs w:val="21"/>
                <w:highlight w:val="none"/>
              </w:rPr>
            </w:pPr>
          </w:p>
        </w:tc>
        <w:tc>
          <w:tcPr>
            <w:tcW w:w="1711" w:type="dxa"/>
            <w:tcBorders>
              <w:tl2br w:val="nil"/>
              <w:tr2bl w:val="nil"/>
            </w:tcBorders>
            <w:vAlign w:val="center"/>
          </w:tcPr>
          <w:p>
            <w:pPr>
              <w:adjustRightInd w:val="0"/>
              <w:snapToGrid w:val="0"/>
              <w:spacing w:line="0" w:lineRule="atLeast"/>
              <w:jc w:val="center"/>
              <w:rPr>
                <w:rFonts w:ascii="宋体" w:hAnsi="宋体" w:cs="宋体"/>
                <w:color w:val="auto"/>
                <w:szCs w:val="21"/>
                <w:highlight w:val="none"/>
              </w:rPr>
            </w:pPr>
            <w:r>
              <w:rPr>
                <w:rFonts w:hint="eastAsia" w:ascii="宋体" w:hAnsi="宋体" w:cs="宋体"/>
                <w:color w:val="auto"/>
                <w:szCs w:val="21"/>
                <w:highlight w:val="none"/>
              </w:rPr>
              <w:t>美术学</w:t>
            </w:r>
          </w:p>
        </w:tc>
        <w:tc>
          <w:tcPr>
            <w:tcW w:w="4440" w:type="dxa"/>
            <w:tcBorders>
              <w:tl2br w:val="nil"/>
              <w:tr2bl w:val="nil"/>
            </w:tcBorders>
            <w:vAlign w:val="center"/>
          </w:tcPr>
          <w:p>
            <w:pPr>
              <w:adjustRightInd w:val="0"/>
              <w:snapToGrid w:val="0"/>
              <w:spacing w:line="0" w:lineRule="atLeast"/>
              <w:jc w:val="center"/>
              <w:rPr>
                <w:rFonts w:ascii="宋体" w:hAnsi="宋体" w:cs="宋体"/>
                <w:color w:val="auto"/>
                <w:szCs w:val="21"/>
                <w:highlight w:val="none"/>
              </w:rPr>
            </w:pPr>
            <w:r>
              <w:rPr>
                <w:rFonts w:hint="eastAsia" w:ascii="宋体" w:hAnsi="宋体" w:cs="宋体"/>
                <w:color w:val="auto"/>
                <w:szCs w:val="21"/>
                <w:highlight w:val="none"/>
              </w:rPr>
              <w:t>校一流专业培育项目</w:t>
            </w:r>
          </w:p>
        </w:tc>
        <w:tc>
          <w:tcPr>
            <w:tcW w:w="2483" w:type="dxa"/>
            <w:vMerge w:val="continue"/>
            <w:tcBorders>
              <w:tl2br w:val="nil"/>
              <w:tr2bl w:val="nil"/>
            </w:tcBorders>
            <w:vAlign w:val="center"/>
          </w:tcPr>
          <w:p>
            <w:pPr>
              <w:adjustRightInd w:val="0"/>
              <w:snapToGrid w:val="0"/>
              <w:spacing w:line="0" w:lineRule="atLeast"/>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trHeight w:val="427" w:hRule="atLeast"/>
          <w:jc w:val="center"/>
        </w:trPr>
        <w:tc>
          <w:tcPr>
            <w:tcW w:w="625" w:type="dxa"/>
            <w:vMerge w:val="continue"/>
            <w:tcBorders>
              <w:tl2br w:val="nil"/>
              <w:tr2bl w:val="nil"/>
            </w:tcBorders>
            <w:vAlign w:val="center"/>
          </w:tcPr>
          <w:p>
            <w:pPr>
              <w:adjustRightInd w:val="0"/>
              <w:snapToGrid w:val="0"/>
              <w:spacing w:line="0" w:lineRule="atLeast"/>
              <w:jc w:val="center"/>
              <w:rPr>
                <w:rFonts w:ascii="宋体" w:hAnsi="宋体" w:cs="宋体"/>
                <w:color w:val="auto"/>
                <w:szCs w:val="21"/>
                <w:highlight w:val="none"/>
              </w:rPr>
            </w:pPr>
          </w:p>
        </w:tc>
        <w:tc>
          <w:tcPr>
            <w:tcW w:w="1711" w:type="dxa"/>
            <w:tcBorders>
              <w:tl2br w:val="nil"/>
              <w:tr2bl w:val="nil"/>
            </w:tcBorders>
            <w:vAlign w:val="center"/>
          </w:tcPr>
          <w:p>
            <w:pPr>
              <w:adjustRightInd w:val="0"/>
              <w:snapToGrid w:val="0"/>
              <w:spacing w:line="0" w:lineRule="atLeast"/>
              <w:jc w:val="center"/>
              <w:rPr>
                <w:rFonts w:ascii="宋体" w:hAnsi="宋体" w:cs="宋体"/>
                <w:color w:val="auto"/>
                <w:szCs w:val="21"/>
                <w:highlight w:val="none"/>
              </w:rPr>
            </w:pPr>
            <w:r>
              <w:rPr>
                <w:rFonts w:hint="eastAsia" w:ascii="宋体" w:hAnsi="宋体" w:cs="宋体"/>
                <w:color w:val="auto"/>
                <w:szCs w:val="21"/>
                <w:highlight w:val="none"/>
              </w:rPr>
              <w:t>视觉传达设计</w:t>
            </w:r>
          </w:p>
        </w:tc>
        <w:tc>
          <w:tcPr>
            <w:tcW w:w="4440" w:type="dxa"/>
            <w:tcBorders>
              <w:tl2br w:val="nil"/>
              <w:tr2bl w:val="nil"/>
            </w:tcBorders>
            <w:vAlign w:val="center"/>
          </w:tcPr>
          <w:p>
            <w:pPr>
              <w:adjustRightInd w:val="0"/>
              <w:snapToGrid w:val="0"/>
              <w:spacing w:line="0" w:lineRule="atLeast"/>
              <w:jc w:val="center"/>
              <w:rPr>
                <w:rFonts w:ascii="宋体" w:hAnsi="宋体" w:cs="宋体"/>
                <w:color w:val="auto"/>
                <w:szCs w:val="21"/>
                <w:highlight w:val="none"/>
              </w:rPr>
            </w:pPr>
            <w:r>
              <w:rPr>
                <w:rFonts w:hint="eastAsia" w:ascii="宋体" w:hAnsi="宋体" w:cs="宋体"/>
                <w:color w:val="auto"/>
                <w:szCs w:val="21"/>
                <w:highlight w:val="none"/>
              </w:rPr>
              <w:t>校一流专业培育项目</w:t>
            </w:r>
          </w:p>
        </w:tc>
        <w:tc>
          <w:tcPr>
            <w:tcW w:w="2483" w:type="dxa"/>
            <w:vMerge w:val="continue"/>
            <w:tcBorders>
              <w:tl2br w:val="nil"/>
              <w:tr2bl w:val="nil"/>
            </w:tcBorders>
            <w:vAlign w:val="center"/>
          </w:tcPr>
          <w:p>
            <w:pPr>
              <w:adjustRightInd w:val="0"/>
              <w:snapToGrid w:val="0"/>
              <w:spacing w:line="0" w:lineRule="atLeast"/>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trHeight w:val="450" w:hRule="atLeast"/>
          <w:jc w:val="center"/>
        </w:trPr>
        <w:tc>
          <w:tcPr>
            <w:tcW w:w="625" w:type="dxa"/>
            <w:vMerge w:val="continue"/>
            <w:tcBorders>
              <w:tl2br w:val="nil"/>
              <w:tr2bl w:val="nil"/>
            </w:tcBorders>
            <w:vAlign w:val="center"/>
          </w:tcPr>
          <w:p>
            <w:pPr>
              <w:adjustRightInd w:val="0"/>
              <w:snapToGrid w:val="0"/>
              <w:spacing w:line="0" w:lineRule="atLeast"/>
              <w:jc w:val="center"/>
              <w:rPr>
                <w:rFonts w:ascii="宋体" w:hAnsi="宋体" w:cs="宋体"/>
                <w:color w:val="auto"/>
                <w:szCs w:val="21"/>
                <w:highlight w:val="none"/>
              </w:rPr>
            </w:pPr>
          </w:p>
        </w:tc>
        <w:tc>
          <w:tcPr>
            <w:tcW w:w="1711" w:type="dxa"/>
            <w:tcBorders>
              <w:tl2br w:val="nil"/>
              <w:tr2bl w:val="nil"/>
            </w:tcBorders>
            <w:vAlign w:val="center"/>
          </w:tcPr>
          <w:p>
            <w:pPr>
              <w:adjustRightInd w:val="0"/>
              <w:snapToGrid w:val="0"/>
              <w:spacing w:line="0" w:lineRule="atLeast"/>
              <w:jc w:val="center"/>
              <w:rPr>
                <w:rFonts w:ascii="宋体" w:hAnsi="宋体" w:cs="宋体"/>
                <w:color w:val="auto"/>
                <w:szCs w:val="21"/>
                <w:highlight w:val="none"/>
              </w:rPr>
            </w:pPr>
            <w:r>
              <w:rPr>
                <w:rFonts w:hint="eastAsia" w:ascii="宋体" w:hAnsi="宋体" w:cs="宋体"/>
                <w:color w:val="auto"/>
                <w:szCs w:val="21"/>
                <w:highlight w:val="none"/>
              </w:rPr>
              <w:t>环境设计</w:t>
            </w:r>
          </w:p>
        </w:tc>
        <w:tc>
          <w:tcPr>
            <w:tcW w:w="4440" w:type="dxa"/>
            <w:tcBorders>
              <w:tl2br w:val="nil"/>
              <w:tr2bl w:val="nil"/>
            </w:tcBorders>
            <w:vAlign w:val="center"/>
          </w:tcPr>
          <w:p>
            <w:pPr>
              <w:adjustRightInd w:val="0"/>
              <w:snapToGrid w:val="0"/>
              <w:spacing w:line="0" w:lineRule="atLeast"/>
              <w:jc w:val="center"/>
              <w:rPr>
                <w:rFonts w:ascii="宋体" w:hAnsi="宋体" w:cs="宋体"/>
                <w:color w:val="auto"/>
                <w:szCs w:val="21"/>
                <w:highlight w:val="none"/>
              </w:rPr>
            </w:pPr>
            <w:r>
              <w:rPr>
                <w:rFonts w:hint="eastAsia" w:ascii="宋体" w:hAnsi="宋体" w:cs="宋体"/>
                <w:color w:val="auto"/>
                <w:szCs w:val="21"/>
                <w:highlight w:val="none"/>
              </w:rPr>
              <w:t>市重点专业、校一流专业培育项目</w:t>
            </w:r>
          </w:p>
        </w:tc>
        <w:tc>
          <w:tcPr>
            <w:tcW w:w="2483" w:type="dxa"/>
            <w:vMerge w:val="continue"/>
            <w:tcBorders>
              <w:tl2br w:val="nil"/>
              <w:tr2bl w:val="nil"/>
            </w:tcBorders>
            <w:vAlign w:val="center"/>
          </w:tcPr>
          <w:p>
            <w:pPr>
              <w:adjustRightInd w:val="0"/>
              <w:snapToGrid w:val="0"/>
              <w:spacing w:line="0" w:lineRule="atLeast"/>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trHeight w:val="417" w:hRule="atLeast"/>
          <w:jc w:val="center"/>
        </w:trPr>
        <w:tc>
          <w:tcPr>
            <w:tcW w:w="625" w:type="dxa"/>
            <w:vMerge w:val="continue"/>
            <w:tcBorders>
              <w:tl2br w:val="nil"/>
              <w:tr2bl w:val="nil"/>
            </w:tcBorders>
            <w:vAlign w:val="center"/>
          </w:tcPr>
          <w:p>
            <w:pPr>
              <w:adjustRightInd w:val="0"/>
              <w:snapToGrid w:val="0"/>
              <w:spacing w:line="0" w:lineRule="atLeast"/>
              <w:jc w:val="center"/>
              <w:rPr>
                <w:rFonts w:ascii="宋体" w:hAnsi="宋体" w:cs="宋体"/>
                <w:color w:val="auto"/>
                <w:szCs w:val="21"/>
                <w:highlight w:val="none"/>
              </w:rPr>
            </w:pPr>
          </w:p>
        </w:tc>
        <w:tc>
          <w:tcPr>
            <w:tcW w:w="1711" w:type="dxa"/>
            <w:tcBorders>
              <w:tl2br w:val="nil"/>
              <w:tr2bl w:val="nil"/>
            </w:tcBorders>
            <w:vAlign w:val="center"/>
          </w:tcPr>
          <w:p>
            <w:pPr>
              <w:adjustRightInd w:val="0"/>
              <w:snapToGrid w:val="0"/>
              <w:spacing w:line="0" w:lineRule="atLeast"/>
              <w:jc w:val="center"/>
              <w:rPr>
                <w:rFonts w:ascii="宋体" w:hAnsi="宋体" w:cs="宋体"/>
                <w:color w:val="auto"/>
                <w:szCs w:val="21"/>
                <w:highlight w:val="none"/>
              </w:rPr>
            </w:pPr>
            <w:r>
              <w:rPr>
                <w:rFonts w:hint="eastAsia" w:ascii="宋体" w:hAnsi="宋体" w:cs="宋体"/>
                <w:color w:val="auto"/>
                <w:szCs w:val="21"/>
                <w:highlight w:val="none"/>
              </w:rPr>
              <w:t>产品设计</w:t>
            </w:r>
          </w:p>
        </w:tc>
        <w:tc>
          <w:tcPr>
            <w:tcW w:w="4440" w:type="dxa"/>
            <w:tcBorders>
              <w:tl2br w:val="nil"/>
              <w:tr2bl w:val="nil"/>
            </w:tcBorders>
            <w:vAlign w:val="center"/>
          </w:tcPr>
          <w:p>
            <w:pPr>
              <w:adjustRightInd w:val="0"/>
              <w:snapToGrid w:val="0"/>
              <w:spacing w:line="0" w:lineRule="atLeast"/>
              <w:jc w:val="center"/>
              <w:rPr>
                <w:rFonts w:ascii="宋体" w:hAnsi="宋体" w:cs="宋体"/>
                <w:color w:val="auto"/>
                <w:szCs w:val="21"/>
                <w:highlight w:val="none"/>
              </w:rPr>
            </w:pPr>
            <w:r>
              <w:rPr>
                <w:rFonts w:hint="eastAsia" w:ascii="宋体" w:hAnsi="宋体" w:cs="宋体"/>
                <w:color w:val="auto"/>
                <w:szCs w:val="21"/>
                <w:highlight w:val="none"/>
              </w:rPr>
              <w:t>停招</w:t>
            </w:r>
          </w:p>
        </w:tc>
        <w:tc>
          <w:tcPr>
            <w:tcW w:w="2483" w:type="dxa"/>
            <w:vMerge w:val="continue"/>
            <w:tcBorders>
              <w:tl2br w:val="nil"/>
              <w:tr2bl w:val="nil"/>
            </w:tcBorders>
            <w:vAlign w:val="center"/>
          </w:tcPr>
          <w:p>
            <w:pPr>
              <w:adjustRightInd w:val="0"/>
              <w:snapToGrid w:val="0"/>
              <w:spacing w:line="0" w:lineRule="atLeast"/>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trHeight w:val="464" w:hRule="atLeast"/>
          <w:jc w:val="center"/>
        </w:trPr>
        <w:tc>
          <w:tcPr>
            <w:tcW w:w="625" w:type="dxa"/>
            <w:vMerge w:val="continue"/>
            <w:tcBorders>
              <w:tl2br w:val="nil"/>
              <w:tr2bl w:val="nil"/>
            </w:tcBorders>
            <w:vAlign w:val="center"/>
          </w:tcPr>
          <w:p>
            <w:pPr>
              <w:adjustRightInd w:val="0"/>
              <w:snapToGrid w:val="0"/>
              <w:spacing w:line="0" w:lineRule="atLeast"/>
              <w:jc w:val="center"/>
              <w:rPr>
                <w:rFonts w:ascii="宋体" w:hAnsi="宋体" w:cs="宋体"/>
                <w:color w:val="auto"/>
                <w:szCs w:val="21"/>
                <w:highlight w:val="none"/>
              </w:rPr>
            </w:pPr>
          </w:p>
        </w:tc>
        <w:tc>
          <w:tcPr>
            <w:tcW w:w="1711" w:type="dxa"/>
            <w:tcBorders>
              <w:tl2br w:val="nil"/>
              <w:tr2bl w:val="nil"/>
            </w:tcBorders>
            <w:vAlign w:val="center"/>
          </w:tcPr>
          <w:p>
            <w:pPr>
              <w:adjustRightInd w:val="0"/>
              <w:snapToGrid w:val="0"/>
              <w:spacing w:line="0" w:lineRule="atLeast"/>
              <w:jc w:val="center"/>
              <w:rPr>
                <w:rFonts w:ascii="宋体" w:hAnsi="宋体" w:cs="宋体"/>
                <w:color w:val="auto"/>
                <w:szCs w:val="21"/>
                <w:highlight w:val="none"/>
              </w:rPr>
            </w:pPr>
            <w:r>
              <w:rPr>
                <w:rFonts w:hint="eastAsia" w:ascii="宋体" w:hAnsi="宋体" w:cs="宋体"/>
                <w:color w:val="auto"/>
                <w:szCs w:val="21"/>
                <w:highlight w:val="none"/>
              </w:rPr>
              <w:t>服装与服饰设计</w:t>
            </w:r>
          </w:p>
        </w:tc>
        <w:tc>
          <w:tcPr>
            <w:tcW w:w="4440" w:type="dxa"/>
            <w:tcBorders>
              <w:tl2br w:val="nil"/>
              <w:tr2bl w:val="nil"/>
            </w:tcBorders>
            <w:vAlign w:val="center"/>
          </w:tcPr>
          <w:p>
            <w:pPr>
              <w:adjustRightInd w:val="0"/>
              <w:snapToGrid w:val="0"/>
              <w:spacing w:line="0" w:lineRule="atLeast"/>
              <w:jc w:val="center"/>
              <w:rPr>
                <w:rFonts w:ascii="宋体" w:hAnsi="宋体" w:cs="宋体"/>
                <w:color w:val="auto"/>
                <w:szCs w:val="21"/>
                <w:highlight w:val="none"/>
              </w:rPr>
            </w:pPr>
            <w:r>
              <w:rPr>
                <w:rFonts w:hint="eastAsia" w:ascii="宋体" w:hAnsi="宋体" w:cs="宋体"/>
                <w:color w:val="auto"/>
                <w:szCs w:val="21"/>
                <w:highlight w:val="none"/>
              </w:rPr>
              <w:t>院重点专业</w:t>
            </w:r>
          </w:p>
        </w:tc>
        <w:tc>
          <w:tcPr>
            <w:tcW w:w="2483" w:type="dxa"/>
            <w:vMerge w:val="continue"/>
            <w:tcBorders>
              <w:tl2br w:val="nil"/>
              <w:tr2bl w:val="nil"/>
            </w:tcBorders>
            <w:vAlign w:val="center"/>
          </w:tcPr>
          <w:p>
            <w:pPr>
              <w:adjustRightInd w:val="0"/>
              <w:snapToGrid w:val="0"/>
              <w:spacing w:line="0" w:lineRule="atLeast"/>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trHeight w:val="1230" w:hRule="atLeast"/>
          <w:jc w:val="center"/>
        </w:trPr>
        <w:tc>
          <w:tcPr>
            <w:tcW w:w="625" w:type="dxa"/>
            <w:vMerge w:val="restart"/>
            <w:tcBorders>
              <w:tl2br w:val="nil"/>
              <w:tr2bl w:val="nil"/>
            </w:tcBorders>
            <w:vAlign w:val="center"/>
          </w:tcPr>
          <w:p>
            <w:pPr>
              <w:adjustRightInd w:val="0"/>
              <w:snapToGrid w:val="0"/>
              <w:spacing w:line="0" w:lineRule="atLeast"/>
              <w:jc w:val="center"/>
              <w:rPr>
                <w:rFonts w:ascii="宋体" w:hAnsi="宋体" w:cs="宋体"/>
                <w:color w:val="auto"/>
                <w:szCs w:val="21"/>
                <w:highlight w:val="none"/>
              </w:rPr>
            </w:pPr>
            <w:r>
              <w:rPr>
                <w:rFonts w:hint="eastAsia" w:ascii="宋体" w:hAnsi="宋体" w:cs="宋体"/>
                <w:color w:val="auto"/>
                <w:szCs w:val="21"/>
                <w:highlight w:val="none"/>
              </w:rPr>
              <w:t>理</w:t>
            </w:r>
          </w:p>
          <w:p>
            <w:pPr>
              <w:adjustRightInd w:val="0"/>
              <w:snapToGrid w:val="0"/>
              <w:spacing w:line="0" w:lineRule="atLeast"/>
              <w:jc w:val="center"/>
              <w:rPr>
                <w:rFonts w:ascii="宋体" w:hAnsi="宋体" w:cs="宋体"/>
                <w:color w:val="auto"/>
                <w:szCs w:val="21"/>
                <w:highlight w:val="none"/>
              </w:rPr>
            </w:pPr>
            <w:r>
              <w:rPr>
                <w:rFonts w:hint="eastAsia" w:ascii="宋体" w:hAnsi="宋体" w:cs="宋体"/>
                <w:color w:val="auto"/>
                <w:szCs w:val="21"/>
                <w:highlight w:val="none"/>
              </w:rPr>
              <w:t>学</w:t>
            </w:r>
          </w:p>
          <w:p>
            <w:pPr>
              <w:adjustRightInd w:val="0"/>
              <w:snapToGrid w:val="0"/>
              <w:spacing w:line="0" w:lineRule="atLeast"/>
              <w:jc w:val="center"/>
              <w:rPr>
                <w:rFonts w:ascii="宋体" w:hAnsi="宋体" w:cs="宋体"/>
                <w:color w:val="auto"/>
                <w:szCs w:val="21"/>
                <w:highlight w:val="none"/>
              </w:rPr>
            </w:pPr>
            <w:r>
              <w:rPr>
                <w:rFonts w:hint="eastAsia" w:ascii="宋体" w:hAnsi="宋体" w:cs="宋体"/>
                <w:color w:val="auto"/>
                <w:szCs w:val="21"/>
                <w:highlight w:val="none"/>
              </w:rPr>
              <w:t>院</w:t>
            </w:r>
          </w:p>
        </w:tc>
        <w:tc>
          <w:tcPr>
            <w:tcW w:w="1711" w:type="dxa"/>
            <w:tcBorders>
              <w:tl2br w:val="nil"/>
              <w:tr2bl w:val="nil"/>
            </w:tcBorders>
            <w:vAlign w:val="center"/>
          </w:tcPr>
          <w:p>
            <w:pPr>
              <w:adjustRightInd w:val="0"/>
              <w:snapToGrid w:val="0"/>
              <w:spacing w:line="0" w:lineRule="atLeast"/>
              <w:jc w:val="center"/>
              <w:rPr>
                <w:rFonts w:ascii="宋体" w:hAnsi="宋体" w:cs="宋体"/>
                <w:color w:val="auto"/>
                <w:szCs w:val="21"/>
                <w:highlight w:val="none"/>
              </w:rPr>
            </w:pPr>
            <w:r>
              <w:rPr>
                <w:rFonts w:hint="eastAsia" w:ascii="宋体" w:hAnsi="宋体" w:cs="宋体"/>
                <w:color w:val="auto"/>
                <w:szCs w:val="21"/>
                <w:highlight w:val="none"/>
              </w:rPr>
              <w:t>数学与应用数学</w:t>
            </w:r>
          </w:p>
        </w:tc>
        <w:tc>
          <w:tcPr>
            <w:tcW w:w="4440" w:type="dxa"/>
            <w:tcBorders>
              <w:tl2br w:val="nil"/>
              <w:tr2bl w:val="nil"/>
            </w:tcBorders>
            <w:vAlign w:val="center"/>
          </w:tcPr>
          <w:p>
            <w:pPr>
              <w:adjustRightInd w:val="0"/>
              <w:snapToGrid w:val="0"/>
              <w:spacing w:line="0" w:lineRule="atLeast"/>
              <w:jc w:val="center"/>
              <w:rPr>
                <w:rFonts w:ascii="宋体" w:hAnsi="宋体" w:cs="宋体"/>
                <w:color w:val="auto"/>
                <w:szCs w:val="21"/>
                <w:highlight w:val="none"/>
              </w:rPr>
            </w:pPr>
            <w:r>
              <w:rPr>
                <w:rFonts w:hint="eastAsia" w:ascii="宋体" w:hAnsi="宋体" w:cs="宋体"/>
                <w:color w:val="auto"/>
                <w:szCs w:val="21"/>
                <w:highlight w:val="none"/>
              </w:rPr>
              <w:t>国家一流专业建设点、国家级特色专业、教育部专业综合改革试点项目、省一流专业建设点、“十三五”和“十二五”省优势专业、省级重点专业、校一流专业培育项目</w:t>
            </w:r>
          </w:p>
        </w:tc>
        <w:tc>
          <w:tcPr>
            <w:tcW w:w="2483" w:type="dxa"/>
            <w:vMerge w:val="restart"/>
            <w:tcBorders>
              <w:tl2br w:val="nil"/>
              <w:tr2bl w:val="nil"/>
            </w:tcBorders>
            <w:vAlign w:val="center"/>
          </w:tcPr>
          <w:p>
            <w:pPr>
              <w:adjustRightInd w:val="0"/>
              <w:snapToGrid w:val="0"/>
              <w:spacing w:line="0" w:lineRule="atLeast"/>
              <w:jc w:val="center"/>
              <w:rPr>
                <w:rFonts w:ascii="宋体" w:hAnsi="宋体" w:cs="宋体"/>
                <w:color w:val="auto"/>
                <w:szCs w:val="21"/>
                <w:highlight w:val="none"/>
              </w:rPr>
            </w:pPr>
            <w:r>
              <w:rPr>
                <w:rFonts w:hint="eastAsia" w:ascii="宋体" w:hAnsi="宋体" w:cs="宋体"/>
                <w:color w:val="auto"/>
                <w:szCs w:val="21"/>
                <w:highlight w:val="none"/>
              </w:rPr>
              <w:t>教育硕士（学科教学数学领域）专业学位硕士点、“十三五”省一流学科（数学）、省高校创新团队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trHeight w:val="551" w:hRule="atLeast"/>
          <w:jc w:val="center"/>
        </w:trPr>
        <w:tc>
          <w:tcPr>
            <w:tcW w:w="625" w:type="dxa"/>
            <w:vMerge w:val="continue"/>
            <w:tcBorders>
              <w:tl2br w:val="nil"/>
              <w:tr2bl w:val="nil"/>
            </w:tcBorders>
            <w:vAlign w:val="center"/>
          </w:tcPr>
          <w:p>
            <w:pPr>
              <w:adjustRightInd w:val="0"/>
              <w:snapToGrid w:val="0"/>
              <w:spacing w:line="0" w:lineRule="atLeast"/>
              <w:rPr>
                <w:rFonts w:ascii="宋体" w:hAnsi="宋体" w:cs="宋体"/>
                <w:color w:val="auto"/>
                <w:szCs w:val="21"/>
                <w:highlight w:val="none"/>
              </w:rPr>
            </w:pPr>
          </w:p>
        </w:tc>
        <w:tc>
          <w:tcPr>
            <w:tcW w:w="1711" w:type="dxa"/>
            <w:tcBorders>
              <w:tl2br w:val="nil"/>
              <w:tr2bl w:val="nil"/>
            </w:tcBorders>
            <w:vAlign w:val="center"/>
          </w:tcPr>
          <w:p>
            <w:pPr>
              <w:adjustRightInd w:val="0"/>
              <w:snapToGrid w:val="0"/>
              <w:spacing w:line="0" w:lineRule="atLeast"/>
              <w:jc w:val="center"/>
              <w:rPr>
                <w:rFonts w:ascii="宋体" w:hAnsi="宋体" w:cs="宋体"/>
                <w:color w:val="auto"/>
                <w:szCs w:val="21"/>
                <w:highlight w:val="none"/>
              </w:rPr>
            </w:pPr>
            <w:r>
              <w:rPr>
                <w:rFonts w:hint="eastAsia" w:ascii="宋体" w:hAnsi="宋体" w:cs="宋体"/>
                <w:color w:val="auto"/>
                <w:szCs w:val="21"/>
                <w:highlight w:val="none"/>
              </w:rPr>
              <w:t>信息与计算科学</w:t>
            </w:r>
          </w:p>
        </w:tc>
        <w:tc>
          <w:tcPr>
            <w:tcW w:w="4440" w:type="dxa"/>
            <w:tcBorders>
              <w:tl2br w:val="nil"/>
              <w:tr2bl w:val="nil"/>
            </w:tcBorders>
            <w:vAlign w:val="center"/>
          </w:tcPr>
          <w:p>
            <w:pPr>
              <w:adjustRightInd w:val="0"/>
              <w:snapToGrid w:val="0"/>
              <w:spacing w:line="0" w:lineRule="atLeast"/>
              <w:jc w:val="center"/>
              <w:rPr>
                <w:rFonts w:ascii="宋体" w:hAnsi="宋体" w:cs="宋体"/>
                <w:color w:val="auto"/>
                <w:szCs w:val="21"/>
                <w:highlight w:val="none"/>
              </w:rPr>
            </w:pPr>
            <w:r>
              <w:rPr>
                <w:rFonts w:hint="eastAsia" w:ascii="宋体" w:hAnsi="宋体" w:cs="宋体"/>
                <w:color w:val="auto"/>
                <w:szCs w:val="21"/>
                <w:highlight w:val="none"/>
              </w:rPr>
              <w:t>2017年停招</w:t>
            </w:r>
          </w:p>
        </w:tc>
        <w:tc>
          <w:tcPr>
            <w:tcW w:w="2483" w:type="dxa"/>
            <w:vMerge w:val="continue"/>
            <w:tcBorders>
              <w:tl2br w:val="nil"/>
              <w:tr2bl w:val="nil"/>
            </w:tcBorders>
            <w:vAlign w:val="center"/>
          </w:tcPr>
          <w:p>
            <w:pPr>
              <w:adjustRightInd w:val="0"/>
              <w:snapToGrid w:val="0"/>
              <w:spacing w:line="0" w:lineRule="atLeast"/>
              <w:rPr>
                <w:rFonts w:ascii="宋体" w:hAnsi="宋体" w:cs="宋体"/>
                <w:color w:val="auto"/>
                <w:szCs w:val="21"/>
                <w:highlight w:val="none"/>
              </w:rPr>
            </w:pPr>
          </w:p>
        </w:tc>
      </w:tr>
    </w:tbl>
    <w:p>
      <w:pPr>
        <w:rPr>
          <w:color w:val="auto"/>
          <w:highlight w:val="none"/>
        </w:rPr>
      </w:pPr>
      <w:r>
        <w:rPr>
          <w:color w:val="auto"/>
          <w:highlight w:val="none"/>
        </w:rPr>
        <w:br w:type="page"/>
      </w:r>
    </w:p>
    <w:p>
      <w:pPr>
        <w:rPr>
          <w:color w:val="auto"/>
          <w:highlight w:val="none"/>
        </w:rPr>
      </w:pPr>
      <w:r>
        <w:rPr>
          <w:rFonts w:hint="eastAsia"/>
          <w:color w:val="auto"/>
          <w:highlight w:val="none"/>
        </w:rPr>
        <w:t xml:space="preserve">    </w:t>
      </w:r>
    </w:p>
    <w:p>
      <w:pPr>
        <w:rPr>
          <w:color w:val="auto"/>
          <w:highlight w:val="none"/>
        </w:rPr>
      </w:pPr>
      <w:r>
        <w:rPr>
          <w:rFonts w:hint="eastAsia"/>
          <w:color w:val="auto"/>
          <w:highlight w:val="none"/>
        </w:rPr>
        <w:t xml:space="preserve">    续表2：</w:t>
      </w:r>
    </w:p>
    <w:tbl>
      <w:tblPr>
        <w:tblStyle w:val="9"/>
        <w:tblW w:w="924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1" w:type="dxa"/>
          <w:bottom w:w="0" w:type="dxa"/>
          <w:right w:w="51" w:type="dxa"/>
        </w:tblCellMar>
      </w:tblPr>
      <w:tblGrid>
        <w:gridCol w:w="624"/>
        <w:gridCol w:w="1708"/>
        <w:gridCol w:w="4431"/>
        <w:gridCol w:w="247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trHeight w:val="544" w:hRule="atLeast"/>
          <w:jc w:val="center"/>
        </w:trPr>
        <w:tc>
          <w:tcPr>
            <w:tcW w:w="624" w:type="dxa"/>
            <w:tcBorders>
              <w:tl2br w:val="nil"/>
              <w:tr2bl w:val="nil"/>
            </w:tcBorders>
            <w:vAlign w:val="center"/>
          </w:tcPr>
          <w:p>
            <w:pPr>
              <w:adjustRightInd w:val="0"/>
              <w:snapToGrid w:val="0"/>
              <w:spacing w:line="0" w:lineRule="atLeast"/>
              <w:jc w:val="center"/>
              <w:rPr>
                <w:rFonts w:ascii="黑体" w:hAnsi="黑体" w:eastAsia="黑体" w:cs="黑体"/>
                <w:color w:val="auto"/>
                <w:szCs w:val="21"/>
                <w:highlight w:val="none"/>
              </w:rPr>
            </w:pPr>
            <w:r>
              <w:rPr>
                <w:rFonts w:hint="eastAsia" w:ascii="黑体" w:hAnsi="黑体" w:eastAsia="黑体" w:cs="黑体"/>
                <w:color w:val="auto"/>
                <w:szCs w:val="21"/>
                <w:highlight w:val="none"/>
              </w:rPr>
              <w:t>二级</w:t>
            </w:r>
          </w:p>
          <w:p>
            <w:pPr>
              <w:adjustRightInd w:val="0"/>
              <w:snapToGrid w:val="0"/>
              <w:spacing w:line="0" w:lineRule="atLeast"/>
              <w:jc w:val="center"/>
              <w:rPr>
                <w:rFonts w:ascii="宋体" w:hAnsi="宋体" w:cs="宋体"/>
                <w:color w:val="auto"/>
                <w:szCs w:val="21"/>
                <w:highlight w:val="none"/>
              </w:rPr>
            </w:pPr>
            <w:r>
              <w:rPr>
                <w:rFonts w:hint="eastAsia" w:ascii="黑体" w:hAnsi="黑体" w:eastAsia="黑体" w:cs="黑体"/>
                <w:color w:val="auto"/>
                <w:szCs w:val="21"/>
                <w:highlight w:val="none"/>
              </w:rPr>
              <w:t>学院</w:t>
            </w:r>
          </w:p>
        </w:tc>
        <w:tc>
          <w:tcPr>
            <w:tcW w:w="1708" w:type="dxa"/>
            <w:tcBorders>
              <w:tl2br w:val="nil"/>
              <w:tr2bl w:val="nil"/>
            </w:tcBorders>
            <w:vAlign w:val="center"/>
          </w:tcPr>
          <w:p>
            <w:pPr>
              <w:adjustRightInd w:val="0"/>
              <w:snapToGrid w:val="0"/>
              <w:spacing w:line="0" w:lineRule="atLeast"/>
              <w:jc w:val="center"/>
              <w:rPr>
                <w:rFonts w:ascii="宋体" w:hAnsi="宋体" w:cs="宋体"/>
                <w:color w:val="auto"/>
                <w:szCs w:val="21"/>
                <w:highlight w:val="none"/>
              </w:rPr>
            </w:pPr>
            <w:r>
              <w:rPr>
                <w:rFonts w:hint="eastAsia" w:ascii="黑体" w:hAnsi="黑体" w:eastAsia="黑体" w:cs="黑体"/>
                <w:color w:val="auto"/>
                <w:szCs w:val="21"/>
                <w:highlight w:val="none"/>
              </w:rPr>
              <w:t>专业</w:t>
            </w:r>
          </w:p>
        </w:tc>
        <w:tc>
          <w:tcPr>
            <w:tcW w:w="4431" w:type="dxa"/>
            <w:tcBorders>
              <w:tl2br w:val="nil"/>
              <w:tr2bl w:val="nil"/>
            </w:tcBorders>
            <w:vAlign w:val="center"/>
          </w:tcPr>
          <w:p>
            <w:pPr>
              <w:adjustRightInd w:val="0"/>
              <w:snapToGrid w:val="0"/>
              <w:spacing w:line="0" w:lineRule="atLeast"/>
              <w:jc w:val="center"/>
              <w:rPr>
                <w:rFonts w:ascii="宋体" w:hAnsi="宋体" w:cs="宋体"/>
                <w:color w:val="auto"/>
                <w:szCs w:val="21"/>
                <w:highlight w:val="none"/>
              </w:rPr>
            </w:pPr>
            <w:r>
              <w:rPr>
                <w:rFonts w:hint="eastAsia" w:ascii="黑体" w:hAnsi="黑体" w:eastAsia="黑体" w:cs="黑体"/>
                <w:color w:val="auto"/>
                <w:szCs w:val="21"/>
                <w:highlight w:val="none"/>
              </w:rPr>
              <w:t>专业建设项目</w:t>
            </w:r>
          </w:p>
        </w:tc>
        <w:tc>
          <w:tcPr>
            <w:tcW w:w="2478" w:type="dxa"/>
            <w:tcBorders>
              <w:tl2br w:val="nil"/>
              <w:tr2bl w:val="nil"/>
            </w:tcBorders>
            <w:vAlign w:val="center"/>
          </w:tcPr>
          <w:p>
            <w:pPr>
              <w:adjustRightInd w:val="0"/>
              <w:snapToGrid w:val="0"/>
              <w:spacing w:line="0" w:lineRule="atLeast"/>
              <w:jc w:val="center"/>
              <w:rPr>
                <w:rFonts w:ascii="宋体" w:hAnsi="宋体" w:cs="宋体"/>
                <w:color w:val="auto"/>
                <w:szCs w:val="21"/>
                <w:highlight w:val="none"/>
              </w:rPr>
            </w:pPr>
            <w:r>
              <w:rPr>
                <w:rFonts w:hint="eastAsia" w:ascii="黑体" w:hAnsi="黑体" w:eastAsia="黑体" w:cs="黑体"/>
                <w:color w:val="auto"/>
                <w:szCs w:val="21"/>
                <w:highlight w:val="none"/>
              </w:rPr>
              <w:t>学科与平台支撑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trHeight w:val="544" w:hRule="atLeast"/>
          <w:jc w:val="center"/>
        </w:trPr>
        <w:tc>
          <w:tcPr>
            <w:tcW w:w="624" w:type="dxa"/>
            <w:vMerge w:val="restart"/>
            <w:tcBorders>
              <w:tl2br w:val="nil"/>
              <w:tr2bl w:val="nil"/>
            </w:tcBorders>
            <w:vAlign w:val="center"/>
          </w:tcPr>
          <w:p>
            <w:pPr>
              <w:adjustRightInd w:val="0"/>
              <w:snapToGrid w:val="0"/>
              <w:spacing w:line="0" w:lineRule="atLeast"/>
              <w:jc w:val="center"/>
              <w:rPr>
                <w:rFonts w:ascii="宋体" w:hAnsi="宋体" w:cs="宋体"/>
                <w:color w:val="auto"/>
                <w:szCs w:val="21"/>
                <w:highlight w:val="none"/>
              </w:rPr>
            </w:pPr>
            <w:r>
              <w:rPr>
                <w:rFonts w:hint="eastAsia" w:ascii="宋体" w:hAnsi="宋体" w:cs="宋体"/>
                <w:color w:val="auto"/>
                <w:szCs w:val="21"/>
                <w:highlight w:val="none"/>
              </w:rPr>
              <w:t>理</w:t>
            </w:r>
          </w:p>
          <w:p>
            <w:pPr>
              <w:adjustRightInd w:val="0"/>
              <w:snapToGrid w:val="0"/>
              <w:spacing w:line="0" w:lineRule="atLeast"/>
              <w:jc w:val="center"/>
              <w:rPr>
                <w:rFonts w:ascii="宋体" w:hAnsi="宋体" w:cs="宋体"/>
                <w:color w:val="auto"/>
                <w:szCs w:val="21"/>
                <w:highlight w:val="none"/>
              </w:rPr>
            </w:pPr>
            <w:r>
              <w:rPr>
                <w:rFonts w:hint="eastAsia" w:ascii="宋体" w:hAnsi="宋体" w:cs="宋体"/>
                <w:color w:val="auto"/>
                <w:szCs w:val="21"/>
                <w:highlight w:val="none"/>
              </w:rPr>
              <w:t>学</w:t>
            </w:r>
          </w:p>
          <w:p>
            <w:pPr>
              <w:adjustRightInd w:val="0"/>
              <w:snapToGrid w:val="0"/>
              <w:spacing w:line="0" w:lineRule="atLeast"/>
              <w:jc w:val="center"/>
              <w:rPr>
                <w:rFonts w:ascii="宋体" w:hAnsi="宋体" w:cs="宋体"/>
                <w:color w:val="auto"/>
                <w:szCs w:val="21"/>
                <w:highlight w:val="none"/>
              </w:rPr>
            </w:pPr>
            <w:r>
              <w:rPr>
                <w:rFonts w:hint="eastAsia" w:ascii="宋体" w:hAnsi="宋体" w:cs="宋体"/>
                <w:color w:val="auto"/>
                <w:szCs w:val="21"/>
                <w:highlight w:val="none"/>
              </w:rPr>
              <w:t>院</w:t>
            </w:r>
          </w:p>
        </w:tc>
        <w:tc>
          <w:tcPr>
            <w:tcW w:w="1708" w:type="dxa"/>
            <w:tcBorders>
              <w:tl2br w:val="nil"/>
              <w:tr2bl w:val="nil"/>
            </w:tcBorders>
            <w:vAlign w:val="center"/>
          </w:tcPr>
          <w:p>
            <w:pPr>
              <w:adjustRightInd w:val="0"/>
              <w:snapToGrid w:val="0"/>
              <w:spacing w:line="0" w:lineRule="atLeast"/>
              <w:jc w:val="center"/>
              <w:rPr>
                <w:rFonts w:ascii="宋体" w:hAnsi="宋体" w:cs="宋体"/>
                <w:color w:val="auto"/>
                <w:szCs w:val="21"/>
                <w:highlight w:val="none"/>
              </w:rPr>
            </w:pPr>
            <w:r>
              <w:rPr>
                <w:rFonts w:hint="eastAsia" w:ascii="宋体" w:hAnsi="宋体" w:cs="宋体"/>
                <w:color w:val="auto"/>
                <w:szCs w:val="21"/>
                <w:highlight w:val="none"/>
              </w:rPr>
              <w:t>物理学</w:t>
            </w:r>
          </w:p>
        </w:tc>
        <w:tc>
          <w:tcPr>
            <w:tcW w:w="4431" w:type="dxa"/>
            <w:tcBorders>
              <w:tl2br w:val="nil"/>
              <w:tr2bl w:val="nil"/>
            </w:tcBorders>
            <w:vAlign w:val="center"/>
          </w:tcPr>
          <w:p>
            <w:pPr>
              <w:adjustRightInd w:val="0"/>
              <w:snapToGrid w:val="0"/>
              <w:spacing w:line="0" w:lineRule="atLeast"/>
              <w:jc w:val="center"/>
              <w:rPr>
                <w:rFonts w:ascii="宋体" w:hAnsi="宋体" w:cs="宋体"/>
                <w:color w:val="auto"/>
                <w:szCs w:val="21"/>
                <w:highlight w:val="none"/>
              </w:rPr>
            </w:pPr>
            <w:r>
              <w:rPr>
                <w:rFonts w:hint="eastAsia" w:ascii="宋体" w:hAnsi="宋体" w:cs="宋体"/>
                <w:color w:val="auto"/>
                <w:szCs w:val="21"/>
                <w:highlight w:val="none"/>
              </w:rPr>
              <w:t>省一流专业建设点、省级重点专业、市重点专业、校一流专业培育项目</w:t>
            </w:r>
          </w:p>
        </w:tc>
        <w:tc>
          <w:tcPr>
            <w:tcW w:w="2478" w:type="dxa"/>
            <w:vMerge w:val="restart"/>
            <w:tcBorders>
              <w:tl2br w:val="nil"/>
              <w:tr2bl w:val="nil"/>
            </w:tcBorders>
            <w:vAlign w:val="center"/>
          </w:tcPr>
          <w:p>
            <w:pPr>
              <w:adjustRightInd w:val="0"/>
              <w:snapToGrid w:val="0"/>
              <w:spacing w:line="0" w:lineRule="atLeast"/>
              <w:jc w:val="center"/>
              <w:rPr>
                <w:rFonts w:ascii="宋体" w:hAnsi="宋体" w:cs="宋体"/>
                <w:color w:val="auto"/>
                <w:szCs w:val="21"/>
                <w:highlight w:val="none"/>
              </w:rPr>
            </w:pPr>
            <w:r>
              <w:rPr>
                <w:rFonts w:hint="eastAsia" w:ascii="宋体" w:hAnsi="宋体" w:cs="宋体"/>
                <w:color w:val="auto"/>
                <w:szCs w:val="21"/>
                <w:highlight w:val="none"/>
              </w:rPr>
              <w:t>“十三五”省一流学科（物理学）、市重点学科（光学工程）、省级实验教学示范中心、省级重点建设实验教学示范中心（物理实验教学中心）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trHeight w:val="544" w:hRule="atLeast"/>
          <w:jc w:val="center"/>
        </w:trPr>
        <w:tc>
          <w:tcPr>
            <w:tcW w:w="624" w:type="dxa"/>
            <w:vMerge w:val="continue"/>
            <w:tcBorders>
              <w:tl2br w:val="nil"/>
              <w:tr2bl w:val="nil"/>
            </w:tcBorders>
            <w:vAlign w:val="center"/>
          </w:tcPr>
          <w:p>
            <w:pPr>
              <w:adjustRightInd w:val="0"/>
              <w:snapToGrid w:val="0"/>
              <w:spacing w:line="0" w:lineRule="atLeast"/>
              <w:jc w:val="center"/>
              <w:rPr>
                <w:rFonts w:ascii="宋体" w:hAnsi="宋体" w:cs="宋体"/>
                <w:color w:val="auto"/>
                <w:szCs w:val="21"/>
                <w:highlight w:val="none"/>
              </w:rPr>
            </w:pPr>
          </w:p>
        </w:tc>
        <w:tc>
          <w:tcPr>
            <w:tcW w:w="1708" w:type="dxa"/>
            <w:tcBorders>
              <w:tl2br w:val="nil"/>
              <w:tr2bl w:val="nil"/>
            </w:tcBorders>
            <w:vAlign w:val="center"/>
          </w:tcPr>
          <w:p>
            <w:pPr>
              <w:adjustRightInd w:val="0"/>
              <w:snapToGrid w:val="0"/>
              <w:spacing w:line="0" w:lineRule="atLeast"/>
              <w:jc w:val="center"/>
              <w:rPr>
                <w:rFonts w:ascii="宋体" w:hAnsi="宋体" w:cs="宋体"/>
                <w:color w:val="auto"/>
                <w:szCs w:val="21"/>
                <w:highlight w:val="none"/>
              </w:rPr>
            </w:pPr>
            <w:r>
              <w:rPr>
                <w:rFonts w:hint="eastAsia" w:ascii="宋体" w:hAnsi="宋体" w:cs="宋体"/>
                <w:color w:val="auto"/>
                <w:szCs w:val="21"/>
                <w:highlight w:val="none"/>
              </w:rPr>
              <w:t>科学教育</w:t>
            </w:r>
          </w:p>
        </w:tc>
        <w:tc>
          <w:tcPr>
            <w:tcW w:w="4431" w:type="dxa"/>
            <w:tcBorders>
              <w:tl2br w:val="nil"/>
              <w:tr2bl w:val="nil"/>
            </w:tcBorders>
            <w:vAlign w:val="center"/>
          </w:tcPr>
          <w:p>
            <w:pPr>
              <w:adjustRightInd w:val="0"/>
              <w:snapToGrid w:val="0"/>
              <w:spacing w:line="0" w:lineRule="atLeast"/>
              <w:jc w:val="center"/>
              <w:rPr>
                <w:rFonts w:ascii="宋体" w:hAnsi="宋体" w:cs="宋体"/>
                <w:color w:val="auto"/>
                <w:szCs w:val="21"/>
                <w:highlight w:val="none"/>
              </w:rPr>
            </w:pPr>
            <w:r>
              <w:rPr>
                <w:rFonts w:hint="eastAsia" w:ascii="宋体" w:hAnsi="宋体" w:cs="宋体"/>
                <w:color w:val="auto"/>
                <w:szCs w:val="21"/>
                <w:highlight w:val="none"/>
              </w:rPr>
              <w:t>省“十三五”师范教育创新工程建设项目、校一流专业培育项目</w:t>
            </w:r>
          </w:p>
        </w:tc>
        <w:tc>
          <w:tcPr>
            <w:tcW w:w="2478" w:type="dxa"/>
            <w:vMerge w:val="continue"/>
            <w:tcBorders>
              <w:tl2br w:val="nil"/>
              <w:tr2bl w:val="nil"/>
            </w:tcBorders>
            <w:vAlign w:val="center"/>
          </w:tcPr>
          <w:p>
            <w:pPr>
              <w:adjustRightInd w:val="0"/>
              <w:snapToGrid w:val="0"/>
              <w:spacing w:line="0" w:lineRule="atLeast"/>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trHeight w:val="544" w:hRule="atLeast"/>
          <w:jc w:val="center"/>
        </w:trPr>
        <w:tc>
          <w:tcPr>
            <w:tcW w:w="624" w:type="dxa"/>
            <w:vMerge w:val="continue"/>
            <w:tcBorders>
              <w:tl2br w:val="nil"/>
              <w:tr2bl w:val="nil"/>
            </w:tcBorders>
            <w:vAlign w:val="center"/>
          </w:tcPr>
          <w:p>
            <w:pPr>
              <w:adjustRightInd w:val="0"/>
              <w:snapToGrid w:val="0"/>
              <w:spacing w:line="0" w:lineRule="atLeast"/>
              <w:jc w:val="center"/>
              <w:rPr>
                <w:rFonts w:ascii="宋体" w:hAnsi="宋体" w:cs="宋体"/>
                <w:color w:val="auto"/>
                <w:szCs w:val="21"/>
                <w:highlight w:val="none"/>
              </w:rPr>
            </w:pPr>
          </w:p>
        </w:tc>
        <w:tc>
          <w:tcPr>
            <w:tcW w:w="1708" w:type="dxa"/>
            <w:tcBorders>
              <w:tl2br w:val="nil"/>
              <w:tr2bl w:val="nil"/>
            </w:tcBorders>
            <w:vAlign w:val="center"/>
          </w:tcPr>
          <w:p>
            <w:pPr>
              <w:adjustRightInd w:val="0"/>
              <w:snapToGrid w:val="0"/>
              <w:spacing w:line="0" w:lineRule="atLeast"/>
              <w:jc w:val="center"/>
              <w:rPr>
                <w:rFonts w:ascii="宋体" w:hAnsi="宋体" w:cs="宋体"/>
                <w:color w:val="auto"/>
                <w:szCs w:val="21"/>
                <w:highlight w:val="none"/>
              </w:rPr>
            </w:pPr>
            <w:r>
              <w:rPr>
                <w:rFonts w:hint="eastAsia" w:ascii="宋体" w:hAnsi="宋体" w:cs="宋体"/>
                <w:color w:val="auto"/>
                <w:szCs w:val="21"/>
                <w:highlight w:val="none"/>
              </w:rPr>
              <w:t>光电信息科学与</w:t>
            </w:r>
          </w:p>
          <w:p>
            <w:pPr>
              <w:adjustRightInd w:val="0"/>
              <w:snapToGrid w:val="0"/>
              <w:spacing w:line="0" w:lineRule="atLeast"/>
              <w:jc w:val="center"/>
              <w:rPr>
                <w:rFonts w:ascii="宋体" w:hAnsi="宋体" w:cs="宋体"/>
                <w:color w:val="auto"/>
                <w:szCs w:val="21"/>
                <w:highlight w:val="none"/>
              </w:rPr>
            </w:pPr>
            <w:r>
              <w:rPr>
                <w:rFonts w:hint="eastAsia" w:ascii="宋体" w:hAnsi="宋体" w:cs="宋体"/>
                <w:color w:val="auto"/>
                <w:szCs w:val="21"/>
                <w:highlight w:val="none"/>
              </w:rPr>
              <w:t>工程</w:t>
            </w:r>
          </w:p>
        </w:tc>
        <w:tc>
          <w:tcPr>
            <w:tcW w:w="4431" w:type="dxa"/>
            <w:tcBorders>
              <w:tl2br w:val="nil"/>
              <w:tr2bl w:val="nil"/>
            </w:tcBorders>
            <w:vAlign w:val="center"/>
          </w:tcPr>
          <w:p>
            <w:pPr>
              <w:adjustRightInd w:val="0"/>
              <w:snapToGrid w:val="0"/>
              <w:spacing w:line="0" w:lineRule="atLeast"/>
              <w:jc w:val="center"/>
              <w:rPr>
                <w:rFonts w:ascii="宋体" w:hAnsi="宋体" w:cs="宋体"/>
                <w:color w:val="auto"/>
                <w:szCs w:val="21"/>
                <w:highlight w:val="none"/>
              </w:rPr>
            </w:pPr>
            <w:r>
              <w:rPr>
                <w:rFonts w:hint="eastAsia" w:ascii="宋体" w:hAnsi="宋体" w:cs="宋体"/>
                <w:color w:val="auto"/>
                <w:szCs w:val="21"/>
                <w:highlight w:val="none"/>
              </w:rPr>
              <w:t>“十二五”省新兴特色专业</w:t>
            </w:r>
          </w:p>
        </w:tc>
        <w:tc>
          <w:tcPr>
            <w:tcW w:w="2478" w:type="dxa"/>
            <w:vMerge w:val="continue"/>
            <w:tcBorders>
              <w:tl2br w:val="nil"/>
              <w:tr2bl w:val="nil"/>
            </w:tcBorders>
            <w:vAlign w:val="center"/>
          </w:tcPr>
          <w:p>
            <w:pPr>
              <w:adjustRightInd w:val="0"/>
              <w:snapToGrid w:val="0"/>
              <w:spacing w:line="0" w:lineRule="atLeast"/>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trHeight w:val="544" w:hRule="atLeast"/>
          <w:jc w:val="center"/>
        </w:trPr>
        <w:tc>
          <w:tcPr>
            <w:tcW w:w="624" w:type="dxa"/>
            <w:vMerge w:val="continue"/>
            <w:tcBorders>
              <w:tl2br w:val="nil"/>
              <w:tr2bl w:val="nil"/>
            </w:tcBorders>
            <w:vAlign w:val="center"/>
          </w:tcPr>
          <w:p>
            <w:pPr>
              <w:adjustRightInd w:val="0"/>
              <w:snapToGrid w:val="0"/>
              <w:spacing w:line="0" w:lineRule="atLeast"/>
              <w:jc w:val="center"/>
              <w:rPr>
                <w:rFonts w:ascii="宋体" w:hAnsi="宋体" w:cs="宋体"/>
                <w:color w:val="auto"/>
                <w:szCs w:val="21"/>
                <w:highlight w:val="none"/>
              </w:rPr>
            </w:pPr>
          </w:p>
        </w:tc>
        <w:tc>
          <w:tcPr>
            <w:tcW w:w="1708" w:type="dxa"/>
            <w:tcBorders>
              <w:tl2br w:val="nil"/>
              <w:tr2bl w:val="nil"/>
            </w:tcBorders>
            <w:vAlign w:val="center"/>
          </w:tcPr>
          <w:p>
            <w:pPr>
              <w:adjustRightInd w:val="0"/>
              <w:snapToGrid w:val="0"/>
              <w:spacing w:line="0" w:lineRule="atLeast"/>
              <w:jc w:val="center"/>
              <w:rPr>
                <w:rFonts w:ascii="宋体" w:hAnsi="宋体" w:cs="宋体"/>
                <w:color w:val="auto"/>
                <w:szCs w:val="21"/>
                <w:highlight w:val="none"/>
              </w:rPr>
            </w:pPr>
            <w:r>
              <w:rPr>
                <w:rFonts w:hint="eastAsia" w:ascii="宋体" w:hAnsi="宋体" w:cs="宋体"/>
                <w:color w:val="auto"/>
                <w:szCs w:val="21"/>
                <w:highlight w:val="none"/>
              </w:rPr>
              <w:t>新能源材料与器件</w:t>
            </w:r>
          </w:p>
        </w:tc>
        <w:tc>
          <w:tcPr>
            <w:tcW w:w="4431" w:type="dxa"/>
            <w:tcBorders>
              <w:tl2br w:val="nil"/>
              <w:tr2bl w:val="nil"/>
            </w:tcBorders>
            <w:vAlign w:val="center"/>
          </w:tcPr>
          <w:p>
            <w:pPr>
              <w:adjustRightInd w:val="0"/>
              <w:snapToGrid w:val="0"/>
              <w:spacing w:line="0" w:lineRule="atLeast"/>
              <w:jc w:val="center"/>
              <w:rPr>
                <w:rFonts w:ascii="宋体" w:hAnsi="宋体" w:cs="宋体"/>
                <w:color w:val="auto"/>
                <w:szCs w:val="21"/>
                <w:highlight w:val="none"/>
              </w:rPr>
            </w:pPr>
            <w:r>
              <w:rPr>
                <w:rFonts w:hint="eastAsia" w:ascii="宋体" w:hAnsi="宋体" w:cs="宋体"/>
                <w:color w:val="auto"/>
                <w:szCs w:val="21"/>
                <w:highlight w:val="none"/>
              </w:rPr>
              <w:t>院重点专业、校一流专业培育项目</w:t>
            </w:r>
          </w:p>
        </w:tc>
        <w:tc>
          <w:tcPr>
            <w:tcW w:w="2478" w:type="dxa"/>
            <w:vMerge w:val="continue"/>
            <w:tcBorders>
              <w:tl2br w:val="nil"/>
              <w:tr2bl w:val="nil"/>
            </w:tcBorders>
            <w:vAlign w:val="center"/>
          </w:tcPr>
          <w:p>
            <w:pPr>
              <w:adjustRightInd w:val="0"/>
              <w:snapToGrid w:val="0"/>
              <w:spacing w:line="0" w:lineRule="atLeast"/>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trHeight w:val="544" w:hRule="atLeast"/>
          <w:jc w:val="center"/>
        </w:trPr>
        <w:tc>
          <w:tcPr>
            <w:tcW w:w="624" w:type="dxa"/>
            <w:vMerge w:val="continue"/>
            <w:tcBorders>
              <w:tl2br w:val="nil"/>
              <w:tr2bl w:val="nil"/>
            </w:tcBorders>
            <w:vAlign w:val="center"/>
          </w:tcPr>
          <w:p>
            <w:pPr>
              <w:adjustRightInd w:val="0"/>
              <w:snapToGrid w:val="0"/>
              <w:spacing w:line="0" w:lineRule="atLeast"/>
              <w:jc w:val="center"/>
              <w:rPr>
                <w:rFonts w:ascii="宋体" w:hAnsi="宋体" w:cs="宋体"/>
                <w:color w:val="auto"/>
                <w:szCs w:val="21"/>
                <w:highlight w:val="none"/>
              </w:rPr>
            </w:pPr>
          </w:p>
        </w:tc>
        <w:tc>
          <w:tcPr>
            <w:tcW w:w="1708" w:type="dxa"/>
            <w:tcBorders>
              <w:tl2br w:val="nil"/>
              <w:tr2bl w:val="nil"/>
            </w:tcBorders>
            <w:vAlign w:val="center"/>
          </w:tcPr>
          <w:p>
            <w:pPr>
              <w:adjustRightInd w:val="0"/>
              <w:snapToGrid w:val="0"/>
              <w:spacing w:line="0" w:lineRule="atLeast"/>
              <w:jc w:val="center"/>
              <w:rPr>
                <w:rFonts w:ascii="宋体" w:hAnsi="宋体" w:cs="宋体"/>
                <w:color w:val="auto"/>
                <w:szCs w:val="21"/>
                <w:highlight w:val="none"/>
              </w:rPr>
            </w:pPr>
            <w:r>
              <w:rPr>
                <w:rFonts w:hint="eastAsia" w:ascii="宋体" w:hAnsi="宋体" w:cs="宋体"/>
                <w:color w:val="auto"/>
                <w:szCs w:val="21"/>
                <w:highlight w:val="none"/>
              </w:rPr>
              <w:t>数据科学与大数据技术</w:t>
            </w:r>
          </w:p>
        </w:tc>
        <w:tc>
          <w:tcPr>
            <w:tcW w:w="4431" w:type="dxa"/>
            <w:tcBorders>
              <w:tl2br w:val="nil"/>
              <w:tr2bl w:val="nil"/>
            </w:tcBorders>
            <w:vAlign w:val="center"/>
          </w:tcPr>
          <w:p>
            <w:pPr>
              <w:adjustRightInd w:val="0"/>
              <w:snapToGrid w:val="0"/>
              <w:spacing w:line="0" w:lineRule="atLeast"/>
              <w:jc w:val="center"/>
              <w:rPr>
                <w:rFonts w:ascii="宋体" w:hAnsi="宋体" w:cs="宋体"/>
                <w:color w:val="auto"/>
                <w:szCs w:val="21"/>
                <w:highlight w:val="none"/>
              </w:rPr>
            </w:pPr>
            <w:r>
              <w:rPr>
                <w:rFonts w:hint="eastAsia" w:ascii="宋体" w:hAnsi="宋体" w:cs="宋体"/>
                <w:color w:val="auto"/>
                <w:szCs w:val="21"/>
                <w:highlight w:val="none"/>
              </w:rPr>
              <w:t>院重点专业、校一流专业培育项目</w:t>
            </w:r>
          </w:p>
        </w:tc>
        <w:tc>
          <w:tcPr>
            <w:tcW w:w="2478" w:type="dxa"/>
            <w:vMerge w:val="continue"/>
            <w:tcBorders>
              <w:tl2br w:val="nil"/>
              <w:tr2bl w:val="nil"/>
            </w:tcBorders>
            <w:vAlign w:val="center"/>
          </w:tcPr>
          <w:p>
            <w:pPr>
              <w:adjustRightInd w:val="0"/>
              <w:snapToGrid w:val="0"/>
              <w:spacing w:line="0" w:lineRule="atLeast"/>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trHeight w:val="1934" w:hRule="atLeast"/>
          <w:jc w:val="center"/>
        </w:trPr>
        <w:tc>
          <w:tcPr>
            <w:tcW w:w="624" w:type="dxa"/>
            <w:vMerge w:val="restart"/>
            <w:tcBorders>
              <w:tl2br w:val="nil"/>
              <w:tr2bl w:val="nil"/>
            </w:tcBorders>
            <w:vAlign w:val="center"/>
          </w:tcPr>
          <w:p>
            <w:pPr>
              <w:adjustRightInd w:val="0"/>
              <w:snapToGrid w:val="0"/>
              <w:spacing w:line="0" w:lineRule="atLeast"/>
              <w:jc w:val="center"/>
              <w:rPr>
                <w:rFonts w:ascii="宋体" w:hAnsi="宋体" w:cs="宋体"/>
                <w:color w:val="auto"/>
                <w:szCs w:val="21"/>
                <w:highlight w:val="none"/>
              </w:rPr>
            </w:pPr>
            <w:r>
              <w:rPr>
                <w:rFonts w:hint="eastAsia" w:ascii="宋体" w:hAnsi="宋体" w:cs="宋体"/>
                <w:color w:val="auto"/>
                <w:szCs w:val="21"/>
                <w:highlight w:val="none"/>
              </w:rPr>
              <w:t>信息工程学院</w:t>
            </w:r>
          </w:p>
        </w:tc>
        <w:tc>
          <w:tcPr>
            <w:tcW w:w="1708" w:type="dxa"/>
            <w:tcBorders>
              <w:tl2br w:val="nil"/>
              <w:tr2bl w:val="nil"/>
            </w:tcBorders>
            <w:vAlign w:val="center"/>
          </w:tcPr>
          <w:p>
            <w:pPr>
              <w:adjustRightInd w:val="0"/>
              <w:snapToGrid w:val="0"/>
              <w:spacing w:line="0" w:lineRule="atLeast"/>
              <w:jc w:val="center"/>
              <w:rPr>
                <w:rFonts w:ascii="宋体" w:hAnsi="宋体" w:cs="宋体"/>
                <w:color w:val="auto"/>
                <w:szCs w:val="21"/>
                <w:highlight w:val="none"/>
              </w:rPr>
            </w:pPr>
            <w:r>
              <w:rPr>
                <w:rFonts w:hint="eastAsia" w:ascii="宋体" w:hAnsi="宋体" w:cs="宋体"/>
                <w:color w:val="auto"/>
                <w:szCs w:val="21"/>
                <w:highlight w:val="none"/>
              </w:rPr>
              <w:t>计算机科学与技术</w:t>
            </w:r>
          </w:p>
        </w:tc>
        <w:tc>
          <w:tcPr>
            <w:tcW w:w="4431" w:type="dxa"/>
            <w:tcBorders>
              <w:tl2br w:val="nil"/>
              <w:tr2bl w:val="nil"/>
            </w:tcBorders>
            <w:vAlign w:val="center"/>
          </w:tcPr>
          <w:p>
            <w:pPr>
              <w:adjustRightInd w:val="0"/>
              <w:snapToGrid w:val="0"/>
              <w:spacing w:line="0" w:lineRule="atLeast"/>
              <w:jc w:val="center"/>
              <w:rPr>
                <w:rFonts w:ascii="宋体" w:hAnsi="宋体" w:cs="宋体"/>
                <w:color w:val="auto"/>
                <w:szCs w:val="21"/>
                <w:highlight w:val="none"/>
              </w:rPr>
            </w:pPr>
            <w:r>
              <w:rPr>
                <w:rFonts w:hint="eastAsia" w:ascii="宋体" w:hAnsi="宋体" w:cs="宋体"/>
                <w:color w:val="auto"/>
                <w:szCs w:val="21"/>
                <w:highlight w:val="none"/>
              </w:rPr>
              <w:t>国家一流专业建设点、省一流专业建设点、“十三五”省特色专业、“十二五”省优势专业、省级重点专业、新工科研究与实践项目、校一流专业培育项目</w:t>
            </w:r>
          </w:p>
        </w:tc>
        <w:tc>
          <w:tcPr>
            <w:tcW w:w="2478" w:type="dxa"/>
            <w:vMerge w:val="restart"/>
            <w:tcBorders>
              <w:tl2br w:val="nil"/>
              <w:tr2bl w:val="nil"/>
            </w:tcBorders>
            <w:vAlign w:val="center"/>
          </w:tcPr>
          <w:p>
            <w:pPr>
              <w:adjustRightInd w:val="0"/>
              <w:snapToGrid w:val="0"/>
              <w:spacing w:line="0" w:lineRule="atLeast"/>
              <w:jc w:val="center"/>
              <w:rPr>
                <w:rFonts w:ascii="宋体" w:hAnsi="宋体" w:cs="宋体"/>
                <w:color w:val="auto"/>
                <w:szCs w:val="21"/>
                <w:highlight w:val="none"/>
              </w:rPr>
            </w:pPr>
            <w:r>
              <w:rPr>
                <w:rFonts w:hint="eastAsia" w:ascii="宋体" w:hAnsi="宋体" w:cs="宋体"/>
                <w:color w:val="auto"/>
                <w:szCs w:val="21"/>
                <w:highlight w:val="none"/>
              </w:rPr>
              <w:t>电子信息硕士专业学位点、“十三五”省一流学科（计算机科学与技术），市重点学科（信息与通信工程）、省高校创新团队，省重点（工程）实验室（RFID物联网技术实验室）、省级实验教学示范中心（电子信息实验教学中心）、国家级大学生校外实践教育基地（湖州多媒体产业园发展有限公司工程实践教育中心）、市365科技创新团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trHeight w:val="1795" w:hRule="atLeast"/>
          <w:jc w:val="center"/>
        </w:trPr>
        <w:tc>
          <w:tcPr>
            <w:tcW w:w="624" w:type="dxa"/>
            <w:vMerge w:val="continue"/>
            <w:tcBorders>
              <w:tl2br w:val="nil"/>
              <w:tr2bl w:val="nil"/>
            </w:tcBorders>
            <w:vAlign w:val="center"/>
          </w:tcPr>
          <w:p>
            <w:pPr>
              <w:adjustRightInd w:val="0"/>
              <w:snapToGrid w:val="0"/>
              <w:spacing w:line="0" w:lineRule="atLeast"/>
              <w:jc w:val="center"/>
              <w:rPr>
                <w:rFonts w:ascii="宋体" w:hAnsi="宋体" w:cs="宋体"/>
                <w:color w:val="auto"/>
                <w:szCs w:val="21"/>
                <w:highlight w:val="none"/>
              </w:rPr>
            </w:pPr>
          </w:p>
        </w:tc>
        <w:tc>
          <w:tcPr>
            <w:tcW w:w="1708" w:type="dxa"/>
            <w:tcBorders>
              <w:tl2br w:val="nil"/>
              <w:tr2bl w:val="nil"/>
            </w:tcBorders>
            <w:vAlign w:val="center"/>
          </w:tcPr>
          <w:p>
            <w:pPr>
              <w:adjustRightInd w:val="0"/>
              <w:snapToGrid w:val="0"/>
              <w:spacing w:line="0" w:lineRule="atLeast"/>
              <w:jc w:val="center"/>
              <w:rPr>
                <w:rFonts w:ascii="宋体" w:hAnsi="宋体" w:cs="宋体"/>
                <w:color w:val="auto"/>
                <w:szCs w:val="21"/>
                <w:highlight w:val="none"/>
              </w:rPr>
            </w:pPr>
            <w:r>
              <w:rPr>
                <w:rFonts w:hint="eastAsia" w:ascii="宋体" w:hAnsi="宋体" w:cs="宋体"/>
                <w:color w:val="auto"/>
                <w:szCs w:val="21"/>
                <w:highlight w:val="none"/>
              </w:rPr>
              <w:t>电子信息工程</w:t>
            </w:r>
          </w:p>
        </w:tc>
        <w:tc>
          <w:tcPr>
            <w:tcW w:w="4431" w:type="dxa"/>
            <w:tcBorders>
              <w:tl2br w:val="nil"/>
              <w:tr2bl w:val="nil"/>
            </w:tcBorders>
            <w:vAlign w:val="center"/>
          </w:tcPr>
          <w:p>
            <w:pPr>
              <w:adjustRightInd w:val="0"/>
              <w:snapToGrid w:val="0"/>
              <w:spacing w:line="0" w:lineRule="atLeast"/>
              <w:jc w:val="center"/>
              <w:rPr>
                <w:rFonts w:ascii="宋体" w:hAnsi="宋体" w:cs="宋体"/>
                <w:color w:val="auto"/>
                <w:szCs w:val="21"/>
                <w:highlight w:val="none"/>
              </w:rPr>
            </w:pPr>
            <w:r>
              <w:rPr>
                <w:rFonts w:hint="eastAsia" w:ascii="宋体" w:hAnsi="宋体" w:cs="宋体"/>
                <w:color w:val="auto"/>
                <w:szCs w:val="21"/>
                <w:highlight w:val="none"/>
              </w:rPr>
              <w:t>校一流专业培育项目</w:t>
            </w:r>
          </w:p>
        </w:tc>
        <w:tc>
          <w:tcPr>
            <w:tcW w:w="2478" w:type="dxa"/>
            <w:vMerge w:val="continue"/>
            <w:tcBorders>
              <w:tl2br w:val="nil"/>
              <w:tr2bl w:val="nil"/>
            </w:tcBorders>
            <w:vAlign w:val="center"/>
          </w:tcPr>
          <w:p>
            <w:pPr>
              <w:adjustRightInd w:val="0"/>
              <w:snapToGrid w:val="0"/>
              <w:spacing w:line="0" w:lineRule="atLeast"/>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trHeight w:val="436" w:hRule="atLeast"/>
          <w:jc w:val="center"/>
        </w:trPr>
        <w:tc>
          <w:tcPr>
            <w:tcW w:w="624" w:type="dxa"/>
            <w:vMerge w:val="continue"/>
            <w:tcBorders>
              <w:tl2br w:val="nil"/>
              <w:tr2bl w:val="nil"/>
            </w:tcBorders>
            <w:vAlign w:val="center"/>
          </w:tcPr>
          <w:p>
            <w:pPr>
              <w:adjustRightInd w:val="0"/>
              <w:snapToGrid w:val="0"/>
              <w:spacing w:line="0" w:lineRule="atLeast"/>
              <w:jc w:val="center"/>
              <w:rPr>
                <w:rFonts w:ascii="宋体" w:hAnsi="宋体" w:cs="宋体"/>
                <w:color w:val="auto"/>
                <w:szCs w:val="21"/>
                <w:highlight w:val="none"/>
              </w:rPr>
            </w:pPr>
          </w:p>
        </w:tc>
        <w:tc>
          <w:tcPr>
            <w:tcW w:w="1708" w:type="dxa"/>
            <w:tcBorders>
              <w:tl2br w:val="nil"/>
              <w:tr2bl w:val="nil"/>
            </w:tcBorders>
            <w:vAlign w:val="center"/>
          </w:tcPr>
          <w:p>
            <w:pPr>
              <w:adjustRightInd w:val="0"/>
              <w:snapToGrid w:val="0"/>
              <w:spacing w:line="0" w:lineRule="atLeast"/>
              <w:jc w:val="center"/>
              <w:rPr>
                <w:rFonts w:ascii="宋体" w:hAnsi="宋体" w:cs="宋体"/>
                <w:color w:val="auto"/>
                <w:szCs w:val="21"/>
                <w:highlight w:val="none"/>
              </w:rPr>
            </w:pPr>
            <w:r>
              <w:rPr>
                <w:rFonts w:hint="eastAsia" w:ascii="宋体" w:hAnsi="宋体" w:cs="宋体"/>
                <w:color w:val="auto"/>
                <w:szCs w:val="21"/>
                <w:highlight w:val="none"/>
              </w:rPr>
              <w:t>物联网工程</w:t>
            </w:r>
          </w:p>
        </w:tc>
        <w:tc>
          <w:tcPr>
            <w:tcW w:w="4431" w:type="dxa"/>
            <w:tcBorders>
              <w:tl2br w:val="nil"/>
              <w:tr2bl w:val="nil"/>
            </w:tcBorders>
            <w:vAlign w:val="center"/>
          </w:tcPr>
          <w:p>
            <w:pPr>
              <w:adjustRightInd w:val="0"/>
              <w:snapToGrid w:val="0"/>
              <w:spacing w:line="0" w:lineRule="atLeast"/>
              <w:jc w:val="center"/>
              <w:rPr>
                <w:rFonts w:ascii="宋体" w:hAnsi="宋体" w:cs="宋体"/>
                <w:color w:val="auto"/>
                <w:szCs w:val="21"/>
                <w:highlight w:val="none"/>
              </w:rPr>
            </w:pPr>
            <w:r>
              <w:rPr>
                <w:rFonts w:hint="eastAsia" w:ascii="宋体" w:hAnsi="宋体" w:cs="宋体"/>
                <w:color w:val="auto"/>
                <w:szCs w:val="21"/>
                <w:highlight w:val="none"/>
              </w:rPr>
              <w:t>院重点专业</w:t>
            </w:r>
          </w:p>
        </w:tc>
        <w:tc>
          <w:tcPr>
            <w:tcW w:w="2478" w:type="dxa"/>
            <w:vMerge w:val="restart"/>
            <w:tcBorders>
              <w:tl2br w:val="nil"/>
              <w:tr2bl w:val="nil"/>
            </w:tcBorders>
            <w:vAlign w:val="center"/>
          </w:tcPr>
          <w:p>
            <w:pPr>
              <w:adjustRightInd w:val="0"/>
              <w:snapToGrid w:val="0"/>
              <w:spacing w:line="0" w:lineRule="atLeast"/>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trHeight w:val="474" w:hRule="atLeast"/>
          <w:jc w:val="center"/>
        </w:trPr>
        <w:tc>
          <w:tcPr>
            <w:tcW w:w="624" w:type="dxa"/>
            <w:vMerge w:val="continue"/>
            <w:tcBorders>
              <w:tl2br w:val="nil"/>
              <w:tr2bl w:val="nil"/>
            </w:tcBorders>
            <w:vAlign w:val="center"/>
          </w:tcPr>
          <w:p>
            <w:pPr>
              <w:adjustRightInd w:val="0"/>
              <w:snapToGrid w:val="0"/>
              <w:spacing w:line="0" w:lineRule="atLeast"/>
              <w:jc w:val="center"/>
              <w:rPr>
                <w:rFonts w:ascii="宋体" w:hAnsi="宋体" w:cs="宋体"/>
                <w:color w:val="auto"/>
                <w:szCs w:val="21"/>
                <w:highlight w:val="none"/>
              </w:rPr>
            </w:pPr>
          </w:p>
        </w:tc>
        <w:tc>
          <w:tcPr>
            <w:tcW w:w="1708" w:type="dxa"/>
            <w:tcBorders>
              <w:tl2br w:val="nil"/>
              <w:tr2bl w:val="nil"/>
            </w:tcBorders>
            <w:vAlign w:val="center"/>
          </w:tcPr>
          <w:p>
            <w:pPr>
              <w:adjustRightInd w:val="0"/>
              <w:snapToGrid w:val="0"/>
              <w:spacing w:line="0" w:lineRule="atLeast"/>
              <w:jc w:val="center"/>
              <w:rPr>
                <w:rFonts w:ascii="宋体" w:hAnsi="宋体" w:cs="宋体"/>
                <w:color w:val="auto"/>
                <w:szCs w:val="21"/>
                <w:highlight w:val="none"/>
              </w:rPr>
            </w:pPr>
            <w:r>
              <w:rPr>
                <w:rFonts w:hint="eastAsia" w:ascii="宋体" w:hAnsi="宋体" w:cs="宋体"/>
                <w:color w:val="auto"/>
                <w:szCs w:val="21"/>
                <w:highlight w:val="none"/>
              </w:rPr>
              <w:t>通信工程</w:t>
            </w:r>
          </w:p>
        </w:tc>
        <w:tc>
          <w:tcPr>
            <w:tcW w:w="4431" w:type="dxa"/>
            <w:tcBorders>
              <w:tl2br w:val="nil"/>
              <w:tr2bl w:val="nil"/>
            </w:tcBorders>
            <w:vAlign w:val="center"/>
          </w:tcPr>
          <w:p>
            <w:pPr>
              <w:adjustRightInd w:val="0"/>
              <w:snapToGrid w:val="0"/>
              <w:spacing w:line="0" w:lineRule="atLeast"/>
              <w:jc w:val="center"/>
              <w:rPr>
                <w:rFonts w:ascii="宋体" w:hAnsi="宋体" w:cs="宋体"/>
                <w:color w:val="auto"/>
                <w:szCs w:val="21"/>
                <w:highlight w:val="none"/>
              </w:rPr>
            </w:pPr>
            <w:r>
              <w:rPr>
                <w:rFonts w:hint="eastAsia" w:ascii="宋体" w:hAnsi="宋体" w:cs="宋体"/>
                <w:color w:val="auto"/>
                <w:szCs w:val="21"/>
                <w:highlight w:val="none"/>
              </w:rPr>
              <w:t>院重点专业</w:t>
            </w:r>
          </w:p>
        </w:tc>
        <w:tc>
          <w:tcPr>
            <w:tcW w:w="2478" w:type="dxa"/>
            <w:vMerge w:val="continue"/>
            <w:tcBorders>
              <w:tl2br w:val="nil"/>
              <w:tr2bl w:val="nil"/>
            </w:tcBorders>
            <w:vAlign w:val="center"/>
          </w:tcPr>
          <w:p>
            <w:pPr>
              <w:adjustRightInd w:val="0"/>
              <w:snapToGrid w:val="0"/>
              <w:spacing w:line="0" w:lineRule="atLeast"/>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trHeight w:val="225" w:hRule="atLeast"/>
          <w:jc w:val="center"/>
        </w:trPr>
        <w:tc>
          <w:tcPr>
            <w:tcW w:w="624" w:type="dxa"/>
            <w:vMerge w:val="restart"/>
            <w:tcBorders>
              <w:tl2br w:val="nil"/>
              <w:tr2bl w:val="nil"/>
            </w:tcBorders>
            <w:vAlign w:val="center"/>
          </w:tcPr>
          <w:p>
            <w:pPr>
              <w:adjustRightInd w:val="0"/>
              <w:snapToGrid w:val="0"/>
              <w:spacing w:line="0" w:lineRule="atLeast"/>
              <w:jc w:val="center"/>
              <w:rPr>
                <w:rFonts w:ascii="宋体" w:hAnsi="宋体" w:cs="宋体"/>
                <w:color w:val="auto"/>
                <w:szCs w:val="21"/>
                <w:highlight w:val="none"/>
              </w:rPr>
            </w:pPr>
            <w:r>
              <w:rPr>
                <w:rFonts w:hint="eastAsia" w:ascii="宋体" w:hAnsi="宋体" w:cs="宋体"/>
                <w:color w:val="auto"/>
                <w:szCs w:val="21"/>
                <w:highlight w:val="none"/>
              </w:rPr>
              <w:t>工</w:t>
            </w:r>
          </w:p>
          <w:p>
            <w:pPr>
              <w:adjustRightInd w:val="0"/>
              <w:snapToGrid w:val="0"/>
              <w:spacing w:line="0" w:lineRule="atLeast"/>
              <w:jc w:val="center"/>
              <w:rPr>
                <w:rFonts w:ascii="宋体" w:hAnsi="宋体" w:cs="宋体"/>
                <w:color w:val="auto"/>
                <w:szCs w:val="21"/>
                <w:highlight w:val="none"/>
              </w:rPr>
            </w:pPr>
            <w:r>
              <w:rPr>
                <w:rFonts w:hint="eastAsia" w:ascii="宋体" w:hAnsi="宋体" w:cs="宋体"/>
                <w:color w:val="auto"/>
                <w:szCs w:val="21"/>
                <w:highlight w:val="none"/>
              </w:rPr>
              <w:t>学</w:t>
            </w:r>
          </w:p>
          <w:p>
            <w:pPr>
              <w:adjustRightInd w:val="0"/>
              <w:snapToGrid w:val="0"/>
              <w:spacing w:line="0" w:lineRule="atLeast"/>
              <w:jc w:val="center"/>
              <w:rPr>
                <w:rFonts w:ascii="宋体" w:hAnsi="宋体" w:cs="宋体"/>
                <w:color w:val="auto"/>
                <w:szCs w:val="21"/>
                <w:highlight w:val="none"/>
              </w:rPr>
            </w:pPr>
            <w:r>
              <w:rPr>
                <w:rFonts w:hint="eastAsia" w:ascii="宋体" w:hAnsi="宋体" w:cs="宋体"/>
                <w:color w:val="auto"/>
                <w:szCs w:val="21"/>
                <w:highlight w:val="none"/>
              </w:rPr>
              <w:t>院</w:t>
            </w:r>
          </w:p>
        </w:tc>
        <w:tc>
          <w:tcPr>
            <w:tcW w:w="1708" w:type="dxa"/>
            <w:tcBorders>
              <w:tl2br w:val="nil"/>
              <w:tr2bl w:val="nil"/>
            </w:tcBorders>
            <w:vAlign w:val="center"/>
          </w:tcPr>
          <w:p>
            <w:pPr>
              <w:adjustRightInd w:val="0"/>
              <w:snapToGrid w:val="0"/>
              <w:spacing w:line="0" w:lineRule="atLeast"/>
              <w:jc w:val="center"/>
              <w:rPr>
                <w:rFonts w:ascii="宋体" w:hAnsi="宋体" w:cs="宋体"/>
                <w:color w:val="auto"/>
                <w:szCs w:val="21"/>
                <w:highlight w:val="none"/>
              </w:rPr>
            </w:pPr>
            <w:r>
              <w:rPr>
                <w:rFonts w:hint="eastAsia" w:ascii="宋体" w:hAnsi="宋体" w:cs="宋体"/>
                <w:color w:val="auto"/>
                <w:szCs w:val="21"/>
                <w:highlight w:val="none"/>
              </w:rPr>
              <w:t>机械设计制造及其</w:t>
            </w:r>
          </w:p>
          <w:p>
            <w:pPr>
              <w:adjustRightInd w:val="0"/>
              <w:snapToGrid w:val="0"/>
              <w:spacing w:line="0" w:lineRule="atLeast"/>
              <w:jc w:val="center"/>
              <w:rPr>
                <w:rFonts w:ascii="宋体" w:hAnsi="宋体" w:cs="宋体"/>
                <w:color w:val="auto"/>
                <w:szCs w:val="21"/>
                <w:highlight w:val="none"/>
              </w:rPr>
            </w:pPr>
            <w:r>
              <w:rPr>
                <w:rFonts w:hint="eastAsia" w:ascii="宋体" w:hAnsi="宋体" w:cs="宋体"/>
                <w:color w:val="auto"/>
                <w:szCs w:val="21"/>
                <w:highlight w:val="none"/>
              </w:rPr>
              <w:t>自动化</w:t>
            </w:r>
          </w:p>
        </w:tc>
        <w:tc>
          <w:tcPr>
            <w:tcW w:w="4431" w:type="dxa"/>
            <w:tcBorders>
              <w:tl2br w:val="nil"/>
              <w:tr2bl w:val="nil"/>
            </w:tcBorders>
            <w:vAlign w:val="center"/>
          </w:tcPr>
          <w:p>
            <w:pPr>
              <w:adjustRightInd w:val="0"/>
              <w:snapToGrid w:val="0"/>
              <w:spacing w:line="0" w:lineRule="atLeast"/>
              <w:jc w:val="center"/>
              <w:rPr>
                <w:rFonts w:ascii="宋体" w:hAnsi="宋体" w:cs="宋体"/>
                <w:color w:val="auto"/>
                <w:szCs w:val="21"/>
                <w:highlight w:val="none"/>
              </w:rPr>
            </w:pPr>
            <w:r>
              <w:rPr>
                <w:rFonts w:hint="eastAsia" w:ascii="宋体" w:hAnsi="宋体" w:cs="宋体"/>
                <w:color w:val="auto"/>
                <w:szCs w:val="21"/>
                <w:highlight w:val="none"/>
              </w:rPr>
              <w:t>省一流专业建设点、“十二五”省新兴特色专业、市重点专业、校一流专业培育项目</w:t>
            </w:r>
          </w:p>
        </w:tc>
        <w:tc>
          <w:tcPr>
            <w:tcW w:w="2478" w:type="dxa"/>
            <w:vMerge w:val="restart"/>
            <w:tcBorders>
              <w:tl2br w:val="nil"/>
              <w:tr2bl w:val="nil"/>
            </w:tcBorders>
            <w:vAlign w:val="center"/>
          </w:tcPr>
          <w:p>
            <w:pPr>
              <w:adjustRightInd w:val="0"/>
              <w:snapToGrid w:val="0"/>
              <w:spacing w:line="0" w:lineRule="atLeast"/>
              <w:jc w:val="center"/>
              <w:rPr>
                <w:rFonts w:ascii="宋体" w:hAnsi="宋体" w:cs="宋体"/>
                <w:color w:val="auto"/>
                <w:szCs w:val="21"/>
                <w:highlight w:val="none"/>
              </w:rPr>
            </w:pPr>
            <w:r>
              <w:rPr>
                <w:rFonts w:hint="eastAsia" w:ascii="宋体" w:hAnsi="宋体" w:cs="宋体"/>
                <w:color w:val="auto"/>
                <w:szCs w:val="21"/>
                <w:highlight w:val="none"/>
              </w:rPr>
              <w:t>电子信息硕士专业学位点、市重点学科（机械工程）、省重点（工程）实验室（污染场地快速修复技术与装备实验室）、省级实验教学示范中心（电子信息实验教学中心）、国家级大学生校外实践教育基地（湖州多媒体产业园发展有限公司工程实践教育中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trHeight w:val="504" w:hRule="atLeast"/>
          <w:jc w:val="center"/>
        </w:trPr>
        <w:tc>
          <w:tcPr>
            <w:tcW w:w="624" w:type="dxa"/>
            <w:vMerge w:val="continue"/>
            <w:tcBorders>
              <w:tl2br w:val="nil"/>
              <w:tr2bl w:val="nil"/>
            </w:tcBorders>
            <w:vAlign w:val="center"/>
          </w:tcPr>
          <w:p>
            <w:pPr>
              <w:adjustRightInd w:val="0"/>
              <w:snapToGrid w:val="0"/>
              <w:spacing w:line="0" w:lineRule="atLeast"/>
              <w:jc w:val="center"/>
              <w:rPr>
                <w:rFonts w:ascii="宋体" w:hAnsi="宋体" w:cs="宋体"/>
                <w:color w:val="auto"/>
                <w:szCs w:val="21"/>
                <w:highlight w:val="none"/>
              </w:rPr>
            </w:pPr>
          </w:p>
        </w:tc>
        <w:tc>
          <w:tcPr>
            <w:tcW w:w="1708" w:type="dxa"/>
            <w:tcBorders>
              <w:tl2br w:val="nil"/>
              <w:tr2bl w:val="nil"/>
            </w:tcBorders>
            <w:vAlign w:val="center"/>
          </w:tcPr>
          <w:p>
            <w:pPr>
              <w:adjustRightInd w:val="0"/>
              <w:snapToGrid w:val="0"/>
              <w:spacing w:line="0" w:lineRule="atLeast"/>
              <w:jc w:val="center"/>
              <w:rPr>
                <w:rFonts w:ascii="宋体" w:hAnsi="宋体" w:cs="宋体"/>
                <w:color w:val="auto"/>
                <w:szCs w:val="21"/>
                <w:highlight w:val="none"/>
              </w:rPr>
            </w:pPr>
            <w:r>
              <w:rPr>
                <w:rFonts w:hint="eastAsia" w:ascii="宋体" w:hAnsi="宋体" w:cs="宋体"/>
                <w:color w:val="auto"/>
                <w:szCs w:val="21"/>
                <w:highlight w:val="none"/>
              </w:rPr>
              <w:t>机械电子工程</w:t>
            </w:r>
          </w:p>
        </w:tc>
        <w:tc>
          <w:tcPr>
            <w:tcW w:w="4431" w:type="dxa"/>
            <w:tcBorders>
              <w:tl2br w:val="nil"/>
              <w:tr2bl w:val="nil"/>
            </w:tcBorders>
            <w:vAlign w:val="center"/>
          </w:tcPr>
          <w:p>
            <w:pPr>
              <w:adjustRightInd w:val="0"/>
              <w:snapToGrid w:val="0"/>
              <w:spacing w:line="0" w:lineRule="atLeast"/>
              <w:jc w:val="center"/>
              <w:rPr>
                <w:rFonts w:ascii="宋体" w:hAnsi="宋体" w:cs="宋体"/>
                <w:color w:val="auto"/>
                <w:szCs w:val="21"/>
                <w:highlight w:val="none"/>
              </w:rPr>
            </w:pPr>
            <w:r>
              <w:rPr>
                <w:rFonts w:hint="eastAsia" w:ascii="宋体" w:hAnsi="宋体" w:cs="宋体"/>
                <w:color w:val="auto"/>
                <w:szCs w:val="21"/>
                <w:highlight w:val="none"/>
              </w:rPr>
              <w:t>2019年停招</w:t>
            </w:r>
          </w:p>
        </w:tc>
        <w:tc>
          <w:tcPr>
            <w:tcW w:w="2478" w:type="dxa"/>
            <w:vMerge w:val="continue"/>
            <w:tcBorders>
              <w:tl2br w:val="nil"/>
              <w:tr2bl w:val="nil"/>
            </w:tcBorders>
            <w:vAlign w:val="center"/>
          </w:tcPr>
          <w:p>
            <w:pPr>
              <w:adjustRightInd w:val="0"/>
              <w:snapToGrid w:val="0"/>
              <w:spacing w:line="0" w:lineRule="atLeast"/>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trHeight w:val="180" w:hRule="atLeast"/>
          <w:jc w:val="center"/>
        </w:trPr>
        <w:tc>
          <w:tcPr>
            <w:tcW w:w="624" w:type="dxa"/>
            <w:vMerge w:val="continue"/>
            <w:tcBorders>
              <w:tl2br w:val="nil"/>
              <w:tr2bl w:val="nil"/>
            </w:tcBorders>
            <w:vAlign w:val="center"/>
          </w:tcPr>
          <w:p>
            <w:pPr>
              <w:adjustRightInd w:val="0"/>
              <w:snapToGrid w:val="0"/>
              <w:spacing w:line="0" w:lineRule="atLeast"/>
              <w:jc w:val="center"/>
              <w:rPr>
                <w:rFonts w:ascii="宋体" w:hAnsi="宋体" w:cs="宋体"/>
                <w:color w:val="auto"/>
                <w:szCs w:val="21"/>
                <w:highlight w:val="none"/>
              </w:rPr>
            </w:pPr>
          </w:p>
        </w:tc>
        <w:tc>
          <w:tcPr>
            <w:tcW w:w="1708" w:type="dxa"/>
            <w:tcBorders>
              <w:tl2br w:val="nil"/>
              <w:tr2bl w:val="nil"/>
            </w:tcBorders>
            <w:vAlign w:val="center"/>
          </w:tcPr>
          <w:p>
            <w:pPr>
              <w:adjustRightInd w:val="0"/>
              <w:snapToGrid w:val="0"/>
              <w:spacing w:line="0" w:lineRule="atLeast"/>
              <w:jc w:val="center"/>
              <w:rPr>
                <w:rFonts w:ascii="宋体" w:hAnsi="宋体" w:cs="宋体"/>
                <w:color w:val="auto"/>
                <w:szCs w:val="21"/>
                <w:highlight w:val="none"/>
              </w:rPr>
            </w:pPr>
            <w:r>
              <w:rPr>
                <w:rFonts w:hint="eastAsia" w:ascii="宋体" w:hAnsi="宋体" w:cs="宋体"/>
                <w:color w:val="auto"/>
                <w:szCs w:val="21"/>
                <w:highlight w:val="none"/>
              </w:rPr>
              <w:t>电气工程及其</w:t>
            </w:r>
          </w:p>
          <w:p>
            <w:pPr>
              <w:adjustRightInd w:val="0"/>
              <w:snapToGrid w:val="0"/>
              <w:spacing w:line="0" w:lineRule="atLeast"/>
              <w:jc w:val="center"/>
              <w:rPr>
                <w:rFonts w:ascii="宋体" w:hAnsi="宋体" w:cs="宋体"/>
                <w:color w:val="auto"/>
                <w:szCs w:val="21"/>
                <w:highlight w:val="none"/>
              </w:rPr>
            </w:pPr>
            <w:r>
              <w:rPr>
                <w:rFonts w:hint="eastAsia" w:ascii="宋体" w:hAnsi="宋体" w:cs="宋体"/>
                <w:color w:val="auto"/>
                <w:szCs w:val="21"/>
                <w:highlight w:val="none"/>
              </w:rPr>
              <w:t>自动化</w:t>
            </w:r>
          </w:p>
        </w:tc>
        <w:tc>
          <w:tcPr>
            <w:tcW w:w="4431" w:type="dxa"/>
            <w:tcBorders>
              <w:tl2br w:val="nil"/>
              <w:tr2bl w:val="nil"/>
            </w:tcBorders>
            <w:vAlign w:val="center"/>
          </w:tcPr>
          <w:p>
            <w:pPr>
              <w:adjustRightInd w:val="0"/>
              <w:snapToGrid w:val="0"/>
              <w:spacing w:line="0" w:lineRule="atLeast"/>
              <w:jc w:val="center"/>
              <w:rPr>
                <w:rFonts w:ascii="宋体" w:hAnsi="宋体" w:cs="宋体"/>
                <w:color w:val="auto"/>
                <w:szCs w:val="21"/>
                <w:highlight w:val="none"/>
              </w:rPr>
            </w:pPr>
            <w:r>
              <w:rPr>
                <w:rFonts w:hint="eastAsia" w:ascii="宋体" w:hAnsi="宋体" w:cs="宋体"/>
                <w:color w:val="auto"/>
                <w:szCs w:val="21"/>
                <w:highlight w:val="none"/>
              </w:rPr>
              <w:t>校一流专业培育项目</w:t>
            </w:r>
          </w:p>
        </w:tc>
        <w:tc>
          <w:tcPr>
            <w:tcW w:w="2478" w:type="dxa"/>
            <w:vMerge w:val="continue"/>
            <w:tcBorders>
              <w:tl2br w:val="nil"/>
              <w:tr2bl w:val="nil"/>
            </w:tcBorders>
            <w:vAlign w:val="center"/>
          </w:tcPr>
          <w:p>
            <w:pPr>
              <w:adjustRightInd w:val="0"/>
              <w:snapToGrid w:val="0"/>
              <w:spacing w:line="0" w:lineRule="atLeast"/>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trHeight w:val="550" w:hRule="atLeast"/>
          <w:jc w:val="center"/>
        </w:trPr>
        <w:tc>
          <w:tcPr>
            <w:tcW w:w="624" w:type="dxa"/>
            <w:vMerge w:val="continue"/>
            <w:tcBorders>
              <w:tl2br w:val="nil"/>
              <w:tr2bl w:val="nil"/>
            </w:tcBorders>
            <w:vAlign w:val="center"/>
          </w:tcPr>
          <w:p>
            <w:pPr>
              <w:adjustRightInd w:val="0"/>
              <w:snapToGrid w:val="0"/>
              <w:spacing w:line="0" w:lineRule="atLeast"/>
              <w:jc w:val="center"/>
              <w:rPr>
                <w:rFonts w:ascii="宋体" w:hAnsi="宋体" w:cs="宋体"/>
                <w:color w:val="auto"/>
                <w:szCs w:val="21"/>
                <w:highlight w:val="none"/>
              </w:rPr>
            </w:pPr>
          </w:p>
        </w:tc>
        <w:tc>
          <w:tcPr>
            <w:tcW w:w="1708" w:type="dxa"/>
            <w:tcBorders>
              <w:tl2br w:val="nil"/>
              <w:tr2bl w:val="nil"/>
            </w:tcBorders>
            <w:vAlign w:val="center"/>
          </w:tcPr>
          <w:p>
            <w:pPr>
              <w:adjustRightInd w:val="0"/>
              <w:snapToGrid w:val="0"/>
              <w:spacing w:line="0" w:lineRule="atLeast"/>
              <w:jc w:val="center"/>
              <w:rPr>
                <w:rFonts w:ascii="宋体" w:hAnsi="宋体" w:cs="宋体"/>
                <w:color w:val="auto"/>
                <w:szCs w:val="21"/>
                <w:highlight w:val="none"/>
              </w:rPr>
            </w:pPr>
            <w:r>
              <w:rPr>
                <w:rFonts w:hint="eastAsia" w:ascii="宋体" w:hAnsi="宋体" w:cs="宋体"/>
                <w:color w:val="auto"/>
                <w:szCs w:val="21"/>
                <w:highlight w:val="none"/>
              </w:rPr>
              <w:t>建筑学</w:t>
            </w:r>
          </w:p>
        </w:tc>
        <w:tc>
          <w:tcPr>
            <w:tcW w:w="4431" w:type="dxa"/>
            <w:tcBorders>
              <w:tl2br w:val="nil"/>
              <w:tr2bl w:val="nil"/>
            </w:tcBorders>
            <w:vAlign w:val="center"/>
          </w:tcPr>
          <w:p>
            <w:pPr>
              <w:adjustRightInd w:val="0"/>
              <w:snapToGrid w:val="0"/>
              <w:spacing w:line="0" w:lineRule="atLeast"/>
              <w:jc w:val="center"/>
              <w:rPr>
                <w:rFonts w:ascii="宋体" w:hAnsi="宋体" w:cs="宋体"/>
                <w:color w:val="auto"/>
                <w:szCs w:val="21"/>
                <w:highlight w:val="none"/>
              </w:rPr>
            </w:pPr>
            <w:r>
              <w:rPr>
                <w:rFonts w:hint="eastAsia" w:ascii="宋体" w:hAnsi="宋体" w:cs="宋体"/>
                <w:color w:val="auto"/>
                <w:szCs w:val="21"/>
                <w:highlight w:val="none"/>
              </w:rPr>
              <w:t>院重点专业</w:t>
            </w:r>
          </w:p>
        </w:tc>
        <w:tc>
          <w:tcPr>
            <w:tcW w:w="2478" w:type="dxa"/>
            <w:vMerge w:val="continue"/>
            <w:tcBorders>
              <w:tl2br w:val="nil"/>
              <w:tr2bl w:val="nil"/>
            </w:tcBorders>
            <w:vAlign w:val="center"/>
          </w:tcPr>
          <w:p>
            <w:pPr>
              <w:adjustRightInd w:val="0"/>
              <w:snapToGrid w:val="0"/>
              <w:spacing w:line="0" w:lineRule="atLeast"/>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trHeight w:val="90" w:hRule="atLeast"/>
          <w:jc w:val="center"/>
        </w:trPr>
        <w:tc>
          <w:tcPr>
            <w:tcW w:w="624" w:type="dxa"/>
            <w:vMerge w:val="continue"/>
            <w:tcBorders>
              <w:tl2br w:val="nil"/>
              <w:tr2bl w:val="nil"/>
            </w:tcBorders>
            <w:vAlign w:val="center"/>
          </w:tcPr>
          <w:p>
            <w:pPr>
              <w:adjustRightInd w:val="0"/>
              <w:snapToGrid w:val="0"/>
              <w:spacing w:line="0" w:lineRule="atLeast"/>
              <w:jc w:val="center"/>
              <w:rPr>
                <w:rFonts w:ascii="宋体" w:hAnsi="宋体" w:cs="宋体"/>
                <w:color w:val="auto"/>
                <w:szCs w:val="21"/>
                <w:highlight w:val="none"/>
              </w:rPr>
            </w:pPr>
          </w:p>
        </w:tc>
        <w:tc>
          <w:tcPr>
            <w:tcW w:w="1708" w:type="dxa"/>
            <w:tcBorders>
              <w:tl2br w:val="nil"/>
              <w:tr2bl w:val="nil"/>
            </w:tcBorders>
            <w:vAlign w:val="center"/>
          </w:tcPr>
          <w:p>
            <w:pPr>
              <w:adjustRightInd w:val="0"/>
              <w:snapToGrid w:val="0"/>
              <w:spacing w:line="0" w:lineRule="atLeast"/>
              <w:jc w:val="center"/>
              <w:rPr>
                <w:rFonts w:ascii="宋体" w:hAnsi="宋体" w:cs="宋体"/>
                <w:color w:val="auto"/>
                <w:szCs w:val="21"/>
                <w:highlight w:val="none"/>
              </w:rPr>
            </w:pPr>
            <w:r>
              <w:rPr>
                <w:rFonts w:hint="eastAsia" w:ascii="宋体" w:hAnsi="宋体" w:cs="宋体"/>
                <w:color w:val="auto"/>
                <w:szCs w:val="21"/>
                <w:highlight w:val="none"/>
              </w:rPr>
              <w:t>材料化学</w:t>
            </w:r>
          </w:p>
        </w:tc>
        <w:tc>
          <w:tcPr>
            <w:tcW w:w="4431" w:type="dxa"/>
            <w:tcBorders>
              <w:tl2br w:val="nil"/>
              <w:tr2bl w:val="nil"/>
            </w:tcBorders>
            <w:vAlign w:val="center"/>
          </w:tcPr>
          <w:p>
            <w:pPr>
              <w:adjustRightInd w:val="0"/>
              <w:snapToGrid w:val="0"/>
              <w:spacing w:line="0" w:lineRule="atLeast"/>
              <w:jc w:val="center"/>
              <w:rPr>
                <w:rFonts w:ascii="宋体" w:hAnsi="宋体" w:cs="宋体"/>
                <w:color w:val="auto"/>
                <w:szCs w:val="21"/>
                <w:highlight w:val="none"/>
              </w:rPr>
            </w:pPr>
            <w:r>
              <w:rPr>
                <w:rFonts w:hint="eastAsia" w:ascii="宋体" w:hAnsi="宋体" w:cs="宋体"/>
                <w:color w:val="auto"/>
                <w:szCs w:val="21"/>
                <w:highlight w:val="none"/>
              </w:rPr>
              <w:t>校一流专业培育项目、院重点专业</w:t>
            </w:r>
          </w:p>
        </w:tc>
        <w:tc>
          <w:tcPr>
            <w:tcW w:w="2478" w:type="dxa"/>
            <w:vMerge w:val="continue"/>
            <w:tcBorders>
              <w:tl2br w:val="nil"/>
              <w:tr2bl w:val="nil"/>
            </w:tcBorders>
            <w:vAlign w:val="center"/>
          </w:tcPr>
          <w:p>
            <w:pPr>
              <w:adjustRightInd w:val="0"/>
              <w:snapToGrid w:val="0"/>
              <w:spacing w:line="0" w:lineRule="atLeast"/>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trHeight w:val="587" w:hRule="atLeast"/>
          <w:jc w:val="center"/>
        </w:trPr>
        <w:tc>
          <w:tcPr>
            <w:tcW w:w="624" w:type="dxa"/>
            <w:vMerge w:val="restart"/>
            <w:tcBorders>
              <w:tl2br w:val="nil"/>
              <w:tr2bl w:val="nil"/>
            </w:tcBorders>
            <w:vAlign w:val="center"/>
          </w:tcPr>
          <w:p>
            <w:pPr>
              <w:spacing w:line="0" w:lineRule="atLeast"/>
              <w:jc w:val="center"/>
              <w:rPr>
                <w:rFonts w:ascii="宋体" w:hAnsi="宋体" w:cs="宋体"/>
                <w:color w:val="auto"/>
                <w:szCs w:val="21"/>
                <w:highlight w:val="none"/>
              </w:rPr>
            </w:pPr>
            <w:r>
              <w:rPr>
                <w:rFonts w:hint="eastAsia" w:ascii="宋体" w:hAnsi="宋体" w:cs="宋体"/>
                <w:color w:val="auto"/>
                <w:szCs w:val="21"/>
                <w:highlight w:val="none"/>
              </w:rPr>
              <w:t>生命科学学院</w:t>
            </w:r>
          </w:p>
        </w:tc>
        <w:tc>
          <w:tcPr>
            <w:tcW w:w="1708" w:type="dxa"/>
            <w:tcBorders>
              <w:tl2br w:val="nil"/>
              <w:tr2bl w:val="nil"/>
            </w:tcBorders>
            <w:vAlign w:val="center"/>
          </w:tcPr>
          <w:p>
            <w:pPr>
              <w:adjustRightInd w:val="0"/>
              <w:snapToGrid w:val="0"/>
              <w:spacing w:line="0" w:lineRule="atLeast"/>
              <w:jc w:val="center"/>
              <w:rPr>
                <w:rFonts w:ascii="宋体" w:hAnsi="宋体" w:cs="宋体"/>
                <w:color w:val="auto"/>
                <w:szCs w:val="21"/>
                <w:highlight w:val="none"/>
              </w:rPr>
            </w:pPr>
            <w:r>
              <w:rPr>
                <w:rFonts w:hint="eastAsia" w:ascii="宋体" w:hAnsi="宋体" w:cs="宋体"/>
                <w:color w:val="auto"/>
                <w:szCs w:val="21"/>
                <w:highlight w:val="none"/>
              </w:rPr>
              <w:t>生物工程</w:t>
            </w:r>
          </w:p>
        </w:tc>
        <w:tc>
          <w:tcPr>
            <w:tcW w:w="4431" w:type="dxa"/>
            <w:tcBorders>
              <w:tl2br w:val="nil"/>
              <w:tr2bl w:val="nil"/>
            </w:tcBorders>
            <w:vAlign w:val="center"/>
          </w:tcPr>
          <w:p>
            <w:pPr>
              <w:adjustRightInd w:val="0"/>
              <w:snapToGrid w:val="0"/>
              <w:spacing w:line="0" w:lineRule="atLeast"/>
              <w:jc w:val="center"/>
              <w:rPr>
                <w:rFonts w:ascii="宋体" w:hAnsi="宋体" w:cs="宋体"/>
                <w:color w:val="auto"/>
                <w:szCs w:val="21"/>
                <w:highlight w:val="none"/>
              </w:rPr>
            </w:pPr>
            <w:r>
              <w:rPr>
                <w:rFonts w:hint="eastAsia" w:ascii="宋体" w:hAnsi="宋体" w:cs="宋体"/>
                <w:color w:val="auto"/>
                <w:szCs w:val="21"/>
                <w:highlight w:val="none"/>
              </w:rPr>
              <w:t>校重点专业</w:t>
            </w:r>
          </w:p>
        </w:tc>
        <w:tc>
          <w:tcPr>
            <w:tcW w:w="2478" w:type="dxa"/>
            <w:vMerge w:val="restart"/>
            <w:tcBorders>
              <w:tl2br w:val="nil"/>
              <w:tr2bl w:val="nil"/>
            </w:tcBorders>
            <w:vAlign w:val="center"/>
          </w:tcPr>
          <w:p>
            <w:pPr>
              <w:adjustRightInd w:val="0"/>
              <w:snapToGrid w:val="0"/>
              <w:spacing w:line="0" w:lineRule="atLeast"/>
              <w:jc w:val="center"/>
              <w:rPr>
                <w:rFonts w:ascii="宋体" w:hAnsi="宋体" w:cs="宋体"/>
                <w:color w:val="auto"/>
                <w:szCs w:val="21"/>
                <w:highlight w:val="none"/>
              </w:rPr>
            </w:pPr>
            <w:r>
              <w:rPr>
                <w:rFonts w:hint="eastAsia" w:ascii="宋体" w:hAnsi="宋体" w:cs="宋体"/>
                <w:color w:val="auto"/>
                <w:szCs w:val="21"/>
                <w:highlight w:val="none"/>
              </w:rPr>
              <w:t>省级实验教学示范中心（生物实验教学中心）、市重点学科（生物学、生态学）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trHeight w:val="550" w:hRule="atLeast"/>
          <w:jc w:val="center"/>
        </w:trPr>
        <w:tc>
          <w:tcPr>
            <w:tcW w:w="624" w:type="dxa"/>
            <w:vMerge w:val="continue"/>
            <w:tcBorders>
              <w:tl2br w:val="nil"/>
              <w:tr2bl w:val="nil"/>
            </w:tcBorders>
            <w:vAlign w:val="center"/>
          </w:tcPr>
          <w:p>
            <w:pPr>
              <w:adjustRightInd w:val="0"/>
              <w:snapToGrid w:val="0"/>
              <w:spacing w:line="0" w:lineRule="atLeast"/>
              <w:jc w:val="center"/>
              <w:rPr>
                <w:rFonts w:ascii="宋体" w:hAnsi="宋体" w:cs="宋体"/>
                <w:color w:val="auto"/>
                <w:szCs w:val="21"/>
                <w:highlight w:val="none"/>
              </w:rPr>
            </w:pPr>
          </w:p>
        </w:tc>
        <w:tc>
          <w:tcPr>
            <w:tcW w:w="1708" w:type="dxa"/>
            <w:tcBorders>
              <w:tl2br w:val="nil"/>
              <w:tr2bl w:val="nil"/>
            </w:tcBorders>
            <w:vAlign w:val="center"/>
          </w:tcPr>
          <w:p>
            <w:pPr>
              <w:adjustRightInd w:val="0"/>
              <w:snapToGrid w:val="0"/>
              <w:spacing w:line="0" w:lineRule="atLeast"/>
              <w:jc w:val="center"/>
              <w:rPr>
                <w:rFonts w:ascii="宋体" w:hAnsi="宋体" w:cs="宋体"/>
                <w:color w:val="auto"/>
                <w:szCs w:val="21"/>
                <w:highlight w:val="none"/>
              </w:rPr>
            </w:pPr>
            <w:r>
              <w:rPr>
                <w:rFonts w:hint="eastAsia" w:ascii="宋体" w:hAnsi="宋体" w:cs="宋体"/>
                <w:color w:val="auto"/>
                <w:szCs w:val="21"/>
                <w:highlight w:val="none"/>
              </w:rPr>
              <w:t>生物科学</w:t>
            </w:r>
          </w:p>
        </w:tc>
        <w:tc>
          <w:tcPr>
            <w:tcW w:w="4431" w:type="dxa"/>
            <w:tcBorders>
              <w:tl2br w:val="nil"/>
              <w:tr2bl w:val="nil"/>
            </w:tcBorders>
            <w:vAlign w:val="center"/>
          </w:tcPr>
          <w:p>
            <w:pPr>
              <w:adjustRightInd w:val="0"/>
              <w:snapToGrid w:val="0"/>
              <w:spacing w:line="0" w:lineRule="atLeast"/>
              <w:jc w:val="center"/>
              <w:rPr>
                <w:rFonts w:ascii="宋体" w:hAnsi="宋体" w:cs="宋体"/>
                <w:color w:val="auto"/>
                <w:szCs w:val="21"/>
                <w:highlight w:val="none"/>
              </w:rPr>
            </w:pPr>
            <w:r>
              <w:rPr>
                <w:rFonts w:hint="eastAsia" w:ascii="宋体" w:hAnsi="宋体" w:cs="宋体"/>
                <w:color w:val="auto"/>
                <w:szCs w:val="21"/>
                <w:highlight w:val="none"/>
              </w:rPr>
              <w:t>新增专业</w:t>
            </w:r>
          </w:p>
        </w:tc>
        <w:tc>
          <w:tcPr>
            <w:tcW w:w="2478" w:type="dxa"/>
            <w:vMerge w:val="continue"/>
            <w:tcBorders>
              <w:tl2br w:val="nil"/>
              <w:tr2bl w:val="nil"/>
            </w:tcBorders>
            <w:vAlign w:val="center"/>
          </w:tcPr>
          <w:p>
            <w:pPr>
              <w:adjustRightInd w:val="0"/>
              <w:snapToGrid w:val="0"/>
              <w:spacing w:line="0" w:lineRule="atLeast"/>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trHeight w:val="573" w:hRule="atLeast"/>
          <w:jc w:val="center"/>
        </w:trPr>
        <w:tc>
          <w:tcPr>
            <w:tcW w:w="624" w:type="dxa"/>
            <w:vMerge w:val="continue"/>
            <w:tcBorders>
              <w:tl2br w:val="nil"/>
              <w:tr2bl w:val="nil"/>
            </w:tcBorders>
            <w:vAlign w:val="center"/>
          </w:tcPr>
          <w:p>
            <w:pPr>
              <w:adjustRightInd w:val="0"/>
              <w:snapToGrid w:val="0"/>
              <w:spacing w:line="0" w:lineRule="atLeast"/>
              <w:jc w:val="center"/>
              <w:rPr>
                <w:rFonts w:ascii="宋体" w:hAnsi="宋体" w:cs="宋体"/>
                <w:color w:val="auto"/>
                <w:szCs w:val="21"/>
                <w:highlight w:val="none"/>
              </w:rPr>
            </w:pPr>
          </w:p>
        </w:tc>
        <w:tc>
          <w:tcPr>
            <w:tcW w:w="1708" w:type="dxa"/>
            <w:tcBorders>
              <w:tl2br w:val="nil"/>
              <w:tr2bl w:val="nil"/>
            </w:tcBorders>
            <w:vAlign w:val="center"/>
          </w:tcPr>
          <w:p>
            <w:pPr>
              <w:adjustRightInd w:val="0"/>
              <w:snapToGrid w:val="0"/>
              <w:spacing w:line="0" w:lineRule="atLeast"/>
              <w:jc w:val="center"/>
              <w:rPr>
                <w:rFonts w:ascii="宋体" w:hAnsi="宋体" w:cs="宋体"/>
                <w:color w:val="auto"/>
                <w:szCs w:val="21"/>
                <w:highlight w:val="none"/>
              </w:rPr>
            </w:pPr>
            <w:r>
              <w:rPr>
                <w:rFonts w:hint="eastAsia" w:ascii="宋体" w:hAnsi="宋体" w:cs="宋体"/>
                <w:color w:val="auto"/>
                <w:szCs w:val="21"/>
                <w:highlight w:val="none"/>
              </w:rPr>
              <w:t>化学</w:t>
            </w:r>
          </w:p>
        </w:tc>
        <w:tc>
          <w:tcPr>
            <w:tcW w:w="4431" w:type="dxa"/>
            <w:tcBorders>
              <w:tl2br w:val="nil"/>
              <w:tr2bl w:val="nil"/>
            </w:tcBorders>
            <w:vAlign w:val="center"/>
          </w:tcPr>
          <w:p>
            <w:pPr>
              <w:adjustRightInd w:val="0"/>
              <w:snapToGrid w:val="0"/>
              <w:spacing w:line="0" w:lineRule="atLeast"/>
              <w:jc w:val="center"/>
              <w:rPr>
                <w:rFonts w:ascii="宋体" w:hAnsi="宋体" w:cs="宋体"/>
                <w:color w:val="auto"/>
                <w:szCs w:val="21"/>
                <w:highlight w:val="none"/>
              </w:rPr>
            </w:pPr>
            <w:r>
              <w:rPr>
                <w:rFonts w:hint="eastAsia" w:ascii="宋体" w:hAnsi="宋体" w:cs="宋体"/>
                <w:color w:val="auto"/>
                <w:szCs w:val="21"/>
                <w:highlight w:val="none"/>
              </w:rPr>
              <w:t>校一流专业培育项目</w:t>
            </w:r>
          </w:p>
        </w:tc>
        <w:tc>
          <w:tcPr>
            <w:tcW w:w="2478" w:type="dxa"/>
            <w:vMerge w:val="restart"/>
            <w:tcBorders>
              <w:tl2br w:val="nil"/>
              <w:tr2bl w:val="nil"/>
            </w:tcBorders>
            <w:vAlign w:val="center"/>
          </w:tcPr>
          <w:p>
            <w:pPr>
              <w:adjustRightInd w:val="0"/>
              <w:snapToGrid w:val="0"/>
              <w:spacing w:line="0" w:lineRule="atLeast"/>
              <w:jc w:val="center"/>
              <w:rPr>
                <w:rFonts w:ascii="宋体" w:hAnsi="宋体" w:cs="宋体"/>
                <w:color w:val="auto"/>
                <w:szCs w:val="21"/>
                <w:highlight w:val="none"/>
              </w:rPr>
            </w:pPr>
            <w:r>
              <w:rPr>
                <w:rFonts w:hint="eastAsia" w:ascii="宋体" w:hAnsi="宋体" w:cs="宋体"/>
                <w:color w:val="auto"/>
                <w:szCs w:val="21"/>
                <w:highlight w:val="none"/>
              </w:rPr>
              <w:t>省级媒介生物学与病原控制重点实验室、省级实验教学示范中心（生物实验教学中心）、市重点学科（药学）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trHeight w:val="346" w:hRule="atLeast"/>
          <w:jc w:val="center"/>
        </w:trPr>
        <w:tc>
          <w:tcPr>
            <w:tcW w:w="624" w:type="dxa"/>
            <w:vMerge w:val="continue"/>
            <w:tcBorders>
              <w:tl2br w:val="nil"/>
              <w:tr2bl w:val="nil"/>
            </w:tcBorders>
            <w:vAlign w:val="center"/>
          </w:tcPr>
          <w:p>
            <w:pPr>
              <w:adjustRightInd w:val="0"/>
              <w:snapToGrid w:val="0"/>
              <w:spacing w:line="0" w:lineRule="atLeast"/>
              <w:jc w:val="center"/>
              <w:rPr>
                <w:rFonts w:ascii="宋体" w:hAnsi="宋体" w:cs="宋体"/>
                <w:color w:val="auto"/>
                <w:szCs w:val="21"/>
                <w:highlight w:val="none"/>
              </w:rPr>
            </w:pPr>
          </w:p>
        </w:tc>
        <w:tc>
          <w:tcPr>
            <w:tcW w:w="1708" w:type="dxa"/>
            <w:tcBorders>
              <w:tl2br w:val="nil"/>
              <w:tr2bl w:val="nil"/>
            </w:tcBorders>
            <w:vAlign w:val="center"/>
          </w:tcPr>
          <w:p>
            <w:pPr>
              <w:adjustRightInd w:val="0"/>
              <w:snapToGrid w:val="0"/>
              <w:spacing w:line="0" w:lineRule="atLeast"/>
              <w:jc w:val="center"/>
              <w:rPr>
                <w:rFonts w:ascii="宋体" w:hAnsi="宋体" w:cs="宋体"/>
                <w:color w:val="auto"/>
                <w:szCs w:val="21"/>
                <w:highlight w:val="none"/>
              </w:rPr>
            </w:pPr>
            <w:r>
              <w:rPr>
                <w:rFonts w:hint="eastAsia" w:ascii="宋体" w:hAnsi="宋体" w:cs="宋体"/>
                <w:color w:val="auto"/>
                <w:szCs w:val="21"/>
                <w:highlight w:val="none"/>
              </w:rPr>
              <w:t>制药工程</w:t>
            </w:r>
          </w:p>
        </w:tc>
        <w:tc>
          <w:tcPr>
            <w:tcW w:w="4431" w:type="dxa"/>
            <w:tcBorders>
              <w:tl2br w:val="nil"/>
              <w:tr2bl w:val="nil"/>
            </w:tcBorders>
            <w:vAlign w:val="center"/>
          </w:tcPr>
          <w:p>
            <w:pPr>
              <w:adjustRightInd w:val="0"/>
              <w:snapToGrid w:val="0"/>
              <w:spacing w:line="0" w:lineRule="atLeast"/>
              <w:jc w:val="center"/>
              <w:rPr>
                <w:rFonts w:ascii="宋体" w:hAnsi="宋体" w:cs="宋体"/>
                <w:color w:val="auto"/>
                <w:szCs w:val="21"/>
                <w:highlight w:val="none"/>
              </w:rPr>
            </w:pPr>
            <w:r>
              <w:rPr>
                <w:rFonts w:hint="eastAsia" w:ascii="宋体" w:hAnsi="宋体" w:cs="宋体"/>
                <w:color w:val="auto"/>
                <w:szCs w:val="21"/>
                <w:highlight w:val="none"/>
              </w:rPr>
              <w:t>院重点专业、校一流专业培育项目</w:t>
            </w:r>
          </w:p>
        </w:tc>
        <w:tc>
          <w:tcPr>
            <w:tcW w:w="2478" w:type="dxa"/>
            <w:vMerge w:val="continue"/>
            <w:tcBorders>
              <w:tl2br w:val="nil"/>
              <w:tr2bl w:val="nil"/>
            </w:tcBorders>
            <w:vAlign w:val="center"/>
          </w:tcPr>
          <w:p>
            <w:pPr>
              <w:adjustRightInd w:val="0"/>
              <w:snapToGrid w:val="0"/>
              <w:spacing w:line="0" w:lineRule="atLeast"/>
              <w:jc w:val="center"/>
              <w:rPr>
                <w:rFonts w:ascii="宋体" w:hAnsi="宋体" w:cs="宋体"/>
                <w:color w:val="auto"/>
                <w:szCs w:val="21"/>
                <w:highlight w:val="none"/>
              </w:rPr>
            </w:pPr>
          </w:p>
        </w:tc>
      </w:tr>
    </w:tbl>
    <w:p>
      <w:pPr>
        <w:rPr>
          <w:color w:val="auto"/>
          <w:highlight w:val="none"/>
        </w:rPr>
      </w:pPr>
      <w:r>
        <w:rPr>
          <w:color w:val="auto"/>
          <w:highlight w:val="none"/>
        </w:rPr>
        <w:br w:type="page"/>
      </w:r>
    </w:p>
    <w:p>
      <w:pPr>
        <w:rPr>
          <w:color w:val="auto"/>
          <w:highlight w:val="none"/>
        </w:rPr>
      </w:pPr>
    </w:p>
    <w:p>
      <w:pPr>
        <w:ind w:firstLine="394"/>
        <w:rPr>
          <w:color w:val="auto"/>
          <w:highlight w:val="none"/>
        </w:rPr>
      </w:pPr>
      <w:r>
        <w:rPr>
          <w:rFonts w:hint="eastAsia"/>
          <w:color w:val="auto"/>
          <w:highlight w:val="none"/>
        </w:rPr>
        <w:t>续表3：</w:t>
      </w:r>
    </w:p>
    <w:tbl>
      <w:tblPr>
        <w:tblStyle w:val="9"/>
        <w:tblW w:w="924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1" w:type="dxa"/>
          <w:bottom w:w="0" w:type="dxa"/>
          <w:right w:w="51" w:type="dxa"/>
        </w:tblCellMar>
      </w:tblPr>
      <w:tblGrid>
        <w:gridCol w:w="624"/>
        <w:gridCol w:w="1708"/>
        <w:gridCol w:w="4431"/>
        <w:gridCol w:w="247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trHeight w:val="544" w:hRule="atLeast"/>
          <w:jc w:val="center"/>
        </w:trPr>
        <w:tc>
          <w:tcPr>
            <w:tcW w:w="624" w:type="dxa"/>
            <w:tcBorders>
              <w:tl2br w:val="nil"/>
              <w:tr2bl w:val="nil"/>
            </w:tcBorders>
            <w:vAlign w:val="center"/>
          </w:tcPr>
          <w:p>
            <w:pPr>
              <w:adjustRightInd w:val="0"/>
              <w:snapToGrid w:val="0"/>
              <w:spacing w:line="0" w:lineRule="atLeast"/>
              <w:jc w:val="center"/>
              <w:rPr>
                <w:rFonts w:ascii="黑体" w:hAnsi="黑体" w:eastAsia="黑体" w:cs="黑体"/>
                <w:color w:val="auto"/>
                <w:szCs w:val="21"/>
                <w:highlight w:val="none"/>
              </w:rPr>
            </w:pPr>
            <w:r>
              <w:rPr>
                <w:rFonts w:hint="eastAsia" w:ascii="黑体" w:hAnsi="黑体" w:eastAsia="黑体" w:cs="黑体"/>
                <w:color w:val="auto"/>
                <w:szCs w:val="21"/>
                <w:highlight w:val="none"/>
              </w:rPr>
              <w:t>二级</w:t>
            </w:r>
          </w:p>
          <w:p>
            <w:pPr>
              <w:adjustRightInd w:val="0"/>
              <w:snapToGrid w:val="0"/>
              <w:spacing w:line="0" w:lineRule="atLeast"/>
              <w:jc w:val="center"/>
              <w:rPr>
                <w:rFonts w:ascii="宋体" w:hAnsi="宋体" w:cs="宋体"/>
                <w:color w:val="auto"/>
                <w:szCs w:val="21"/>
                <w:highlight w:val="none"/>
              </w:rPr>
            </w:pPr>
            <w:r>
              <w:rPr>
                <w:rFonts w:hint="eastAsia" w:ascii="黑体" w:hAnsi="黑体" w:eastAsia="黑体" w:cs="黑体"/>
                <w:color w:val="auto"/>
                <w:szCs w:val="21"/>
                <w:highlight w:val="none"/>
              </w:rPr>
              <w:t>学院</w:t>
            </w:r>
          </w:p>
        </w:tc>
        <w:tc>
          <w:tcPr>
            <w:tcW w:w="1708" w:type="dxa"/>
            <w:tcBorders>
              <w:tl2br w:val="nil"/>
              <w:tr2bl w:val="nil"/>
            </w:tcBorders>
            <w:vAlign w:val="center"/>
          </w:tcPr>
          <w:p>
            <w:pPr>
              <w:adjustRightInd w:val="0"/>
              <w:snapToGrid w:val="0"/>
              <w:spacing w:line="0" w:lineRule="atLeast"/>
              <w:jc w:val="center"/>
              <w:rPr>
                <w:rFonts w:ascii="宋体" w:hAnsi="宋体" w:cs="宋体"/>
                <w:color w:val="auto"/>
                <w:szCs w:val="21"/>
                <w:highlight w:val="none"/>
              </w:rPr>
            </w:pPr>
            <w:r>
              <w:rPr>
                <w:rFonts w:hint="eastAsia" w:ascii="黑体" w:hAnsi="黑体" w:eastAsia="黑体" w:cs="黑体"/>
                <w:color w:val="auto"/>
                <w:szCs w:val="21"/>
                <w:highlight w:val="none"/>
              </w:rPr>
              <w:t>专业</w:t>
            </w:r>
          </w:p>
        </w:tc>
        <w:tc>
          <w:tcPr>
            <w:tcW w:w="4431" w:type="dxa"/>
            <w:tcBorders>
              <w:tl2br w:val="nil"/>
              <w:tr2bl w:val="nil"/>
            </w:tcBorders>
            <w:vAlign w:val="center"/>
          </w:tcPr>
          <w:p>
            <w:pPr>
              <w:adjustRightInd w:val="0"/>
              <w:snapToGrid w:val="0"/>
              <w:spacing w:line="0" w:lineRule="atLeast"/>
              <w:jc w:val="center"/>
              <w:rPr>
                <w:rFonts w:ascii="宋体" w:hAnsi="宋体" w:cs="宋体"/>
                <w:color w:val="auto"/>
                <w:szCs w:val="21"/>
                <w:highlight w:val="none"/>
              </w:rPr>
            </w:pPr>
            <w:r>
              <w:rPr>
                <w:rFonts w:hint="eastAsia" w:ascii="黑体" w:hAnsi="黑体" w:eastAsia="黑体" w:cs="黑体"/>
                <w:color w:val="auto"/>
                <w:szCs w:val="21"/>
                <w:highlight w:val="none"/>
              </w:rPr>
              <w:t>专业建设项目</w:t>
            </w:r>
          </w:p>
        </w:tc>
        <w:tc>
          <w:tcPr>
            <w:tcW w:w="2478" w:type="dxa"/>
            <w:tcBorders>
              <w:tl2br w:val="nil"/>
              <w:tr2bl w:val="nil"/>
            </w:tcBorders>
            <w:vAlign w:val="center"/>
          </w:tcPr>
          <w:p>
            <w:pPr>
              <w:adjustRightInd w:val="0"/>
              <w:snapToGrid w:val="0"/>
              <w:spacing w:line="0" w:lineRule="atLeast"/>
              <w:jc w:val="center"/>
              <w:rPr>
                <w:rFonts w:ascii="宋体" w:hAnsi="宋体" w:cs="宋体"/>
                <w:color w:val="auto"/>
                <w:szCs w:val="21"/>
                <w:highlight w:val="none"/>
              </w:rPr>
            </w:pPr>
            <w:r>
              <w:rPr>
                <w:rFonts w:hint="eastAsia" w:ascii="黑体" w:hAnsi="黑体" w:eastAsia="黑体" w:cs="黑体"/>
                <w:color w:val="auto"/>
                <w:szCs w:val="21"/>
                <w:highlight w:val="none"/>
              </w:rPr>
              <w:t>学科与平台支撑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trHeight w:val="521" w:hRule="atLeast"/>
          <w:jc w:val="center"/>
        </w:trPr>
        <w:tc>
          <w:tcPr>
            <w:tcW w:w="624" w:type="dxa"/>
            <w:tcBorders>
              <w:tl2br w:val="nil"/>
              <w:tr2bl w:val="nil"/>
            </w:tcBorders>
            <w:vAlign w:val="center"/>
          </w:tcPr>
          <w:p>
            <w:pPr>
              <w:adjustRightInd w:val="0"/>
              <w:snapToGrid w:val="0"/>
              <w:spacing w:line="0" w:lineRule="atLeast"/>
              <w:jc w:val="center"/>
              <w:rPr>
                <w:rFonts w:ascii="宋体" w:hAnsi="宋体" w:cs="宋体"/>
                <w:color w:val="auto"/>
                <w:szCs w:val="21"/>
                <w:highlight w:val="none"/>
              </w:rPr>
            </w:pPr>
            <w:r>
              <w:rPr>
                <w:rFonts w:hint="eastAsia" w:ascii="宋体" w:hAnsi="宋体" w:cs="宋体"/>
                <w:color w:val="auto"/>
                <w:szCs w:val="21"/>
                <w:highlight w:val="none"/>
              </w:rPr>
              <w:t>生命科学学院</w:t>
            </w:r>
          </w:p>
        </w:tc>
        <w:tc>
          <w:tcPr>
            <w:tcW w:w="1708" w:type="dxa"/>
            <w:tcBorders>
              <w:tl2br w:val="nil"/>
              <w:tr2bl w:val="nil"/>
            </w:tcBorders>
            <w:vAlign w:val="center"/>
          </w:tcPr>
          <w:p>
            <w:pPr>
              <w:adjustRightInd w:val="0"/>
              <w:snapToGrid w:val="0"/>
              <w:spacing w:line="0" w:lineRule="atLeast"/>
              <w:jc w:val="center"/>
              <w:rPr>
                <w:rFonts w:ascii="宋体" w:hAnsi="宋体" w:cs="宋体"/>
                <w:color w:val="auto"/>
                <w:szCs w:val="21"/>
                <w:highlight w:val="none"/>
              </w:rPr>
            </w:pPr>
            <w:r>
              <w:rPr>
                <w:rFonts w:hint="eastAsia" w:ascii="宋体" w:hAnsi="宋体" w:cs="宋体"/>
                <w:color w:val="auto"/>
                <w:szCs w:val="21"/>
                <w:highlight w:val="none"/>
              </w:rPr>
              <w:t>水产养殖学</w:t>
            </w:r>
          </w:p>
        </w:tc>
        <w:tc>
          <w:tcPr>
            <w:tcW w:w="4431" w:type="dxa"/>
            <w:tcBorders>
              <w:tl2br w:val="nil"/>
              <w:tr2bl w:val="nil"/>
            </w:tcBorders>
            <w:vAlign w:val="center"/>
          </w:tcPr>
          <w:p>
            <w:pPr>
              <w:adjustRightInd w:val="0"/>
              <w:snapToGrid w:val="0"/>
              <w:spacing w:line="0" w:lineRule="atLeast"/>
              <w:jc w:val="center"/>
              <w:rPr>
                <w:rFonts w:ascii="宋体" w:hAnsi="宋体" w:cs="宋体"/>
                <w:color w:val="auto"/>
                <w:szCs w:val="21"/>
                <w:highlight w:val="none"/>
              </w:rPr>
            </w:pPr>
            <w:r>
              <w:rPr>
                <w:rFonts w:hint="eastAsia" w:ascii="宋体" w:hAnsi="宋体" w:cs="宋体"/>
                <w:color w:val="auto"/>
                <w:szCs w:val="21"/>
                <w:highlight w:val="none"/>
              </w:rPr>
              <w:t>教育部“卓越农林人才教育培养计划”项目、省一流专业建设点、“十三五”省特色专业、“十二五”省新兴特色专业、新农科研究与改革实践项目、校一流专业培育项目</w:t>
            </w:r>
          </w:p>
        </w:tc>
        <w:tc>
          <w:tcPr>
            <w:tcW w:w="2478" w:type="dxa"/>
            <w:tcBorders>
              <w:tl2br w:val="nil"/>
              <w:tr2bl w:val="nil"/>
            </w:tcBorders>
            <w:vAlign w:val="center"/>
          </w:tcPr>
          <w:p>
            <w:pPr>
              <w:adjustRightInd w:val="0"/>
              <w:snapToGrid w:val="0"/>
              <w:spacing w:line="0" w:lineRule="atLeast"/>
              <w:jc w:val="center"/>
              <w:rPr>
                <w:rFonts w:ascii="宋体" w:hAnsi="宋体" w:cs="宋体"/>
                <w:color w:val="auto"/>
                <w:szCs w:val="21"/>
                <w:highlight w:val="none"/>
              </w:rPr>
            </w:pPr>
            <w:r>
              <w:rPr>
                <w:rFonts w:hint="eastAsia" w:ascii="宋体" w:hAnsi="宋体" w:cs="宋体"/>
                <w:color w:val="auto"/>
                <w:szCs w:val="21"/>
                <w:highlight w:val="none"/>
              </w:rPr>
              <w:t>水产一级学科硕士点、“十三五”省一流学科（水产）；国际联合实验室、国家地方联合工程实验室、省重点（工程）实验室、浙江省院士专家</w:t>
            </w:r>
            <w:r>
              <w:rPr>
                <w:rFonts w:hint="eastAsia" w:ascii="宋体" w:hAnsi="宋体" w:cs="宋体"/>
                <w:color w:val="auto"/>
                <w:spacing w:val="-6"/>
                <w:szCs w:val="21"/>
                <w:highlight w:val="none"/>
              </w:rPr>
              <w:t>工作站、省级重大科技创新服务平台（共建）、省级重点建设实验教学示范中心（水产养殖学实验教学中心）、省级重点科技创新团队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trHeight w:val="180" w:hRule="atLeast"/>
          <w:jc w:val="center"/>
        </w:trPr>
        <w:tc>
          <w:tcPr>
            <w:tcW w:w="624" w:type="dxa"/>
            <w:vMerge w:val="restart"/>
            <w:tcBorders>
              <w:tl2br w:val="nil"/>
              <w:tr2bl w:val="nil"/>
            </w:tcBorders>
            <w:vAlign w:val="center"/>
          </w:tcPr>
          <w:p>
            <w:pPr>
              <w:adjustRightInd w:val="0"/>
              <w:snapToGrid w:val="0"/>
              <w:spacing w:line="0" w:lineRule="atLeast"/>
              <w:jc w:val="center"/>
              <w:rPr>
                <w:rFonts w:ascii="宋体" w:hAnsi="宋体" w:cs="宋体"/>
                <w:color w:val="auto"/>
                <w:szCs w:val="21"/>
                <w:highlight w:val="none"/>
              </w:rPr>
            </w:pPr>
            <w:r>
              <w:rPr>
                <w:rFonts w:hint="eastAsia" w:ascii="宋体" w:hAnsi="宋体" w:cs="宋体"/>
                <w:color w:val="auto"/>
                <w:szCs w:val="21"/>
                <w:highlight w:val="none"/>
              </w:rPr>
              <w:t>医学院、</w:t>
            </w:r>
          </w:p>
          <w:p>
            <w:pPr>
              <w:adjustRightInd w:val="0"/>
              <w:snapToGrid w:val="0"/>
              <w:spacing w:line="0" w:lineRule="atLeast"/>
              <w:jc w:val="center"/>
              <w:rPr>
                <w:rFonts w:ascii="宋体" w:hAnsi="宋体" w:cs="宋体"/>
                <w:color w:val="auto"/>
                <w:szCs w:val="21"/>
                <w:highlight w:val="none"/>
              </w:rPr>
            </w:pPr>
            <w:r>
              <w:rPr>
                <w:rFonts w:hint="eastAsia" w:ascii="宋体" w:hAnsi="宋体" w:cs="宋体"/>
                <w:color w:val="auto"/>
                <w:szCs w:val="21"/>
                <w:highlight w:val="none"/>
              </w:rPr>
              <w:t>护理学院</w:t>
            </w:r>
          </w:p>
        </w:tc>
        <w:tc>
          <w:tcPr>
            <w:tcW w:w="1708" w:type="dxa"/>
            <w:tcBorders>
              <w:tl2br w:val="nil"/>
              <w:tr2bl w:val="nil"/>
            </w:tcBorders>
            <w:vAlign w:val="center"/>
          </w:tcPr>
          <w:p>
            <w:pPr>
              <w:adjustRightInd w:val="0"/>
              <w:snapToGrid w:val="0"/>
              <w:spacing w:line="0" w:lineRule="atLeast"/>
              <w:jc w:val="center"/>
              <w:rPr>
                <w:rFonts w:ascii="宋体" w:hAnsi="宋体" w:cs="宋体"/>
                <w:color w:val="auto"/>
                <w:szCs w:val="21"/>
                <w:highlight w:val="none"/>
              </w:rPr>
            </w:pPr>
            <w:r>
              <w:rPr>
                <w:rFonts w:hint="eastAsia" w:ascii="宋体" w:hAnsi="宋体" w:cs="宋体"/>
                <w:color w:val="auto"/>
                <w:szCs w:val="21"/>
                <w:highlight w:val="none"/>
              </w:rPr>
              <w:t>护理学</w:t>
            </w:r>
          </w:p>
        </w:tc>
        <w:tc>
          <w:tcPr>
            <w:tcW w:w="4431" w:type="dxa"/>
            <w:tcBorders>
              <w:tl2br w:val="nil"/>
              <w:tr2bl w:val="nil"/>
            </w:tcBorders>
            <w:vAlign w:val="center"/>
          </w:tcPr>
          <w:p>
            <w:pPr>
              <w:adjustRightInd w:val="0"/>
              <w:snapToGrid w:val="0"/>
              <w:spacing w:line="0" w:lineRule="atLeast"/>
              <w:jc w:val="center"/>
              <w:rPr>
                <w:rFonts w:ascii="宋体" w:hAnsi="宋体" w:cs="宋体"/>
                <w:color w:val="auto"/>
                <w:szCs w:val="21"/>
                <w:highlight w:val="none"/>
              </w:rPr>
            </w:pPr>
            <w:r>
              <w:rPr>
                <w:rFonts w:hint="eastAsia" w:ascii="宋体" w:hAnsi="宋体" w:cs="宋体"/>
                <w:color w:val="auto"/>
                <w:szCs w:val="21"/>
                <w:highlight w:val="none"/>
              </w:rPr>
              <w:t>省一流专业建设点、省级重点专业、市重点专业、校一流专业培育项目</w:t>
            </w:r>
          </w:p>
        </w:tc>
        <w:tc>
          <w:tcPr>
            <w:tcW w:w="2478" w:type="dxa"/>
            <w:vMerge w:val="restart"/>
            <w:tcBorders>
              <w:tl2br w:val="nil"/>
              <w:tr2bl w:val="nil"/>
            </w:tcBorders>
            <w:vAlign w:val="center"/>
          </w:tcPr>
          <w:p>
            <w:pPr>
              <w:adjustRightInd w:val="0"/>
              <w:snapToGrid w:val="0"/>
              <w:spacing w:line="0" w:lineRule="atLeast"/>
              <w:jc w:val="center"/>
              <w:rPr>
                <w:rFonts w:ascii="宋体" w:hAnsi="宋体" w:cs="宋体"/>
                <w:color w:val="auto"/>
                <w:szCs w:val="21"/>
                <w:highlight w:val="none"/>
              </w:rPr>
            </w:pPr>
            <w:r>
              <w:rPr>
                <w:rFonts w:hint="eastAsia" w:ascii="宋体" w:hAnsi="宋体" w:cs="宋体"/>
                <w:color w:val="auto"/>
                <w:szCs w:val="21"/>
                <w:highlight w:val="none"/>
              </w:rPr>
              <w:t>护理硕士专业学位点、“十三五”省一流学科（护理学）、校重点学科（临床医学）、省级大学生校外实践教育基地（湖州市中心医院临床技能综合培训基地）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trHeight w:val="516" w:hRule="atLeast"/>
          <w:jc w:val="center"/>
        </w:trPr>
        <w:tc>
          <w:tcPr>
            <w:tcW w:w="624" w:type="dxa"/>
            <w:vMerge w:val="continue"/>
            <w:tcBorders>
              <w:tl2br w:val="nil"/>
              <w:tr2bl w:val="nil"/>
            </w:tcBorders>
            <w:vAlign w:val="center"/>
          </w:tcPr>
          <w:p>
            <w:pPr>
              <w:widowControl/>
              <w:spacing w:line="0" w:lineRule="atLeast"/>
              <w:ind w:firstLine="396" w:firstLineChars="200"/>
              <w:jc w:val="center"/>
              <w:rPr>
                <w:rFonts w:ascii="宋体" w:hAnsi="宋体" w:cs="宋体"/>
                <w:color w:val="auto"/>
                <w:kern w:val="0"/>
                <w:szCs w:val="21"/>
                <w:highlight w:val="none"/>
              </w:rPr>
            </w:pPr>
          </w:p>
        </w:tc>
        <w:tc>
          <w:tcPr>
            <w:tcW w:w="1708" w:type="dxa"/>
            <w:tcBorders>
              <w:tl2br w:val="nil"/>
              <w:tr2bl w:val="nil"/>
            </w:tcBorders>
            <w:vAlign w:val="center"/>
          </w:tcPr>
          <w:p>
            <w:pPr>
              <w:adjustRightInd w:val="0"/>
              <w:snapToGrid w:val="0"/>
              <w:spacing w:line="0" w:lineRule="atLeast"/>
              <w:jc w:val="center"/>
              <w:rPr>
                <w:rFonts w:ascii="宋体" w:hAnsi="宋体" w:cs="宋体"/>
                <w:color w:val="auto"/>
                <w:szCs w:val="21"/>
                <w:highlight w:val="none"/>
              </w:rPr>
            </w:pPr>
            <w:r>
              <w:rPr>
                <w:rFonts w:hint="eastAsia" w:ascii="宋体" w:hAnsi="宋体" w:cs="宋体"/>
                <w:color w:val="auto"/>
                <w:szCs w:val="21"/>
                <w:highlight w:val="none"/>
              </w:rPr>
              <w:t>口腔医学</w:t>
            </w:r>
          </w:p>
        </w:tc>
        <w:tc>
          <w:tcPr>
            <w:tcW w:w="4431" w:type="dxa"/>
            <w:tcBorders>
              <w:tl2br w:val="nil"/>
              <w:tr2bl w:val="nil"/>
            </w:tcBorders>
            <w:vAlign w:val="center"/>
          </w:tcPr>
          <w:p>
            <w:pPr>
              <w:adjustRightInd w:val="0"/>
              <w:snapToGrid w:val="0"/>
              <w:spacing w:line="0" w:lineRule="atLeast"/>
              <w:jc w:val="center"/>
              <w:rPr>
                <w:rFonts w:ascii="宋体" w:hAnsi="宋体" w:cs="宋体"/>
                <w:color w:val="auto"/>
                <w:szCs w:val="21"/>
                <w:highlight w:val="none"/>
              </w:rPr>
            </w:pPr>
            <w:r>
              <w:rPr>
                <w:rFonts w:hint="eastAsia" w:ascii="宋体" w:hAnsi="宋体" w:cs="宋体"/>
                <w:color w:val="auto"/>
                <w:szCs w:val="21"/>
                <w:highlight w:val="none"/>
              </w:rPr>
              <w:t>院重点专业</w:t>
            </w:r>
          </w:p>
        </w:tc>
        <w:tc>
          <w:tcPr>
            <w:tcW w:w="2478" w:type="dxa"/>
            <w:vMerge w:val="continue"/>
            <w:tcBorders>
              <w:tl2br w:val="nil"/>
              <w:tr2bl w:val="nil"/>
            </w:tcBorders>
            <w:vAlign w:val="center"/>
          </w:tcPr>
          <w:p>
            <w:pPr>
              <w:widowControl/>
              <w:spacing w:line="0" w:lineRule="atLeast"/>
              <w:ind w:firstLine="396" w:firstLineChars="200"/>
              <w:jc w:val="center"/>
              <w:rPr>
                <w:rFonts w:ascii="宋体" w:hAnsi="宋体" w:cs="宋体"/>
                <w:color w:val="auto"/>
                <w:kern w:val="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trHeight w:val="188" w:hRule="atLeast"/>
          <w:jc w:val="center"/>
        </w:trPr>
        <w:tc>
          <w:tcPr>
            <w:tcW w:w="624" w:type="dxa"/>
            <w:vMerge w:val="continue"/>
            <w:tcBorders>
              <w:tl2br w:val="nil"/>
              <w:tr2bl w:val="nil"/>
            </w:tcBorders>
            <w:vAlign w:val="center"/>
          </w:tcPr>
          <w:p>
            <w:pPr>
              <w:widowControl/>
              <w:spacing w:line="0" w:lineRule="atLeast"/>
              <w:ind w:firstLine="396" w:firstLineChars="200"/>
              <w:jc w:val="center"/>
              <w:rPr>
                <w:rFonts w:ascii="宋体" w:hAnsi="宋体" w:cs="宋体"/>
                <w:color w:val="000000"/>
                <w:kern w:val="0"/>
                <w:szCs w:val="21"/>
              </w:rPr>
            </w:pPr>
          </w:p>
        </w:tc>
        <w:tc>
          <w:tcPr>
            <w:tcW w:w="1708" w:type="dxa"/>
            <w:tcBorders>
              <w:tl2br w:val="nil"/>
              <w:tr2bl w:val="nil"/>
            </w:tcBorders>
            <w:vAlign w:val="center"/>
          </w:tcPr>
          <w:p>
            <w:pPr>
              <w:adjustRightInd w:val="0"/>
              <w:snapToGrid w:val="0"/>
              <w:spacing w:line="0" w:lineRule="atLeast"/>
              <w:jc w:val="center"/>
              <w:rPr>
                <w:rFonts w:ascii="宋体" w:hAnsi="宋体" w:cs="宋体"/>
                <w:szCs w:val="21"/>
              </w:rPr>
            </w:pPr>
            <w:r>
              <w:rPr>
                <w:rFonts w:hint="eastAsia" w:ascii="宋体" w:hAnsi="宋体" w:cs="宋体"/>
                <w:szCs w:val="21"/>
              </w:rPr>
              <w:t>临床医学</w:t>
            </w:r>
          </w:p>
        </w:tc>
        <w:tc>
          <w:tcPr>
            <w:tcW w:w="4431" w:type="dxa"/>
            <w:tcBorders>
              <w:tl2br w:val="nil"/>
              <w:tr2bl w:val="nil"/>
            </w:tcBorders>
            <w:vAlign w:val="center"/>
          </w:tcPr>
          <w:p>
            <w:pPr>
              <w:adjustRightInd w:val="0"/>
              <w:snapToGrid w:val="0"/>
              <w:spacing w:line="0" w:lineRule="atLeast"/>
              <w:jc w:val="center"/>
              <w:rPr>
                <w:rFonts w:ascii="宋体" w:hAnsi="宋体" w:cs="宋体"/>
                <w:szCs w:val="21"/>
              </w:rPr>
            </w:pPr>
            <w:r>
              <w:rPr>
                <w:rFonts w:hint="eastAsia" w:ascii="宋体" w:hAnsi="宋体" w:cs="宋体"/>
                <w:szCs w:val="21"/>
              </w:rPr>
              <w:t>教育部“卓越医生教育、培养计划”项目、省一流专业建设点、校一流专业培育项目</w:t>
            </w:r>
          </w:p>
        </w:tc>
        <w:tc>
          <w:tcPr>
            <w:tcW w:w="2478" w:type="dxa"/>
            <w:vMerge w:val="continue"/>
            <w:tcBorders>
              <w:tl2br w:val="nil"/>
              <w:tr2bl w:val="nil"/>
            </w:tcBorders>
            <w:vAlign w:val="center"/>
          </w:tcPr>
          <w:p>
            <w:pPr>
              <w:widowControl/>
              <w:spacing w:line="0" w:lineRule="atLeast"/>
              <w:ind w:firstLine="396" w:firstLineChars="200"/>
              <w:jc w:val="center"/>
              <w:rPr>
                <w:rFonts w:ascii="宋体" w:hAnsi="宋体" w:cs="宋体"/>
                <w:color w:val="000000"/>
                <w:kern w:val="0"/>
                <w:szCs w:val="21"/>
              </w:rPr>
            </w:pPr>
          </w:p>
        </w:tc>
      </w:tr>
    </w:tbl>
    <w:p>
      <w:pPr>
        <w:spacing w:line="400" w:lineRule="exact"/>
        <w:ind w:firstLine="456" w:firstLineChars="200"/>
        <w:rPr>
          <w:rFonts w:ascii="宋体" w:hAnsi="宋体" w:cs="宋体"/>
          <w:b/>
          <w:bCs/>
          <w:sz w:val="24"/>
        </w:rPr>
      </w:pPr>
    </w:p>
    <w:p>
      <w:pPr>
        <w:rPr>
          <w:rFonts w:ascii="黑体" w:hAnsi="黑体" w:eastAsia="黑体" w:cs="黑体"/>
          <w:sz w:val="28"/>
          <w:szCs w:val="28"/>
        </w:rPr>
      </w:pPr>
      <w:r>
        <w:rPr>
          <w:rFonts w:hint="eastAsia" w:ascii="黑体" w:hAnsi="黑体" w:eastAsia="黑体" w:cs="黑体"/>
          <w:sz w:val="28"/>
          <w:szCs w:val="28"/>
        </w:rPr>
        <w:t>（三）在校学生情况</w:t>
      </w:r>
    </w:p>
    <w:p>
      <w:pPr>
        <w:spacing w:line="400" w:lineRule="exact"/>
        <w:ind w:firstLine="456" w:firstLineChars="200"/>
        <w:rPr>
          <w:rFonts w:ascii="宋体" w:hAnsi="宋体" w:cs="宋体"/>
          <w:sz w:val="24"/>
        </w:rPr>
      </w:pPr>
      <w:r>
        <w:rPr>
          <w:rFonts w:hint="eastAsia" w:ascii="宋体" w:hAnsi="宋体" w:cs="宋体"/>
          <w:color w:val="000000" w:themeColor="text1"/>
          <w:sz w:val="24"/>
          <w14:textFill>
            <w14:solidFill>
              <w14:schemeClr w14:val="tx1"/>
            </w14:solidFill>
          </w14:textFill>
        </w:rPr>
        <w:t>2020-2021学年，全日制在校生数11371人，其中普通本科生9637人、专科生417人、硕士研究生813人、普通预科生15人、</w:t>
      </w:r>
      <w:r>
        <w:rPr>
          <w:rFonts w:hint="eastAsia" w:ascii="宋体" w:hAnsi="宋体" w:cs="宋体"/>
          <w:sz w:val="24"/>
        </w:rPr>
        <w:t>留学生498人</w:t>
      </w:r>
      <w:r>
        <w:rPr>
          <w:rFonts w:hint="eastAsia" w:ascii="宋体" w:hAnsi="宋体" w:cs="宋体"/>
          <w:color w:val="000000" w:themeColor="text1"/>
          <w:sz w:val="24"/>
          <w14:textFill>
            <w14:solidFill>
              <w14:schemeClr w14:val="tx1"/>
            </w14:solidFill>
          </w14:textFill>
        </w:rPr>
        <w:t>，另</w:t>
      </w:r>
      <w:r>
        <w:rPr>
          <w:rFonts w:hint="eastAsia" w:ascii="宋体" w:hAnsi="宋体" w:cs="宋体"/>
          <w:sz w:val="24"/>
        </w:rPr>
        <w:t>有非全日制硕士研究生29人，成人业余本科生1233人、成人业余专科生473人，成人函授本科生1193人、成人函授专科生1906人，共折合学生数12746人，普通本科生占全日制在校生人数的比例为84.75%。中外合作办学项目1项（与美国北科罗拉多大学合作举办学前教育专业本科教育项目），2017级在籍学生63人，2018级在籍学生66人，2019级在籍学生60人，2020级在籍学生59人。</w:t>
      </w:r>
    </w:p>
    <w:p>
      <w:pPr>
        <w:jc w:val="center"/>
        <w:rPr>
          <w:rFonts w:ascii="宋体" w:hAnsi="宋体" w:cs="宋体"/>
          <w:b/>
          <w:sz w:val="24"/>
        </w:rPr>
      </w:pPr>
      <w:r>
        <w:rPr>
          <w:rFonts w:hint="eastAsia" w:ascii="宋体" w:hAnsi="宋体" w:cs="宋体"/>
          <w:sz w:val="24"/>
        </w:rPr>
        <w:drawing>
          <wp:inline distT="0" distB="0" distL="114300" distR="114300">
            <wp:extent cx="2910205" cy="2667635"/>
            <wp:effectExtent l="0" t="0" r="4445" b="18415"/>
            <wp:docPr id="7" name="图片 8" descr="163340739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8" descr="1633407394(1)"/>
                    <pic:cNvPicPr>
                      <a:picLocks noChangeAspect="1"/>
                    </pic:cNvPicPr>
                  </pic:nvPicPr>
                  <pic:blipFill>
                    <a:blip r:embed="rId7"/>
                    <a:stretch>
                      <a:fillRect/>
                    </a:stretch>
                  </pic:blipFill>
                  <pic:spPr>
                    <a:xfrm>
                      <a:off x="0" y="0"/>
                      <a:ext cx="2910205" cy="2667635"/>
                    </a:xfrm>
                    <a:prstGeom prst="rect">
                      <a:avLst/>
                    </a:prstGeom>
                    <a:noFill/>
                    <a:ln>
                      <a:noFill/>
                    </a:ln>
                  </pic:spPr>
                </pic:pic>
              </a:graphicData>
            </a:graphic>
          </wp:inline>
        </w:drawing>
      </w:r>
    </w:p>
    <w:p>
      <w:pPr>
        <w:jc w:val="center"/>
        <w:rPr>
          <w:rFonts w:ascii="宋体" w:hAnsi="宋体" w:cs="宋体"/>
          <w:szCs w:val="21"/>
        </w:rPr>
      </w:pPr>
      <w:r>
        <w:rPr>
          <w:rFonts w:hint="eastAsia" w:ascii="宋体" w:hAnsi="宋体" w:cs="宋体"/>
          <w:b/>
          <w:szCs w:val="21"/>
        </w:rPr>
        <w:t>图1  全日制在校生情况</w:t>
      </w:r>
    </w:p>
    <w:p>
      <w:pPr>
        <w:spacing w:line="240" w:lineRule="exact"/>
        <w:rPr>
          <w:rFonts w:ascii="黑体" w:hAnsi="黑体" w:eastAsia="黑体" w:cs="黑体"/>
          <w:sz w:val="28"/>
          <w:szCs w:val="28"/>
        </w:rPr>
      </w:pPr>
    </w:p>
    <w:p>
      <w:pPr>
        <w:rPr>
          <w:rFonts w:ascii="黑体" w:hAnsi="黑体" w:eastAsia="黑体" w:cs="黑体"/>
          <w:sz w:val="28"/>
          <w:szCs w:val="28"/>
        </w:rPr>
      </w:pPr>
      <w:r>
        <w:rPr>
          <w:rFonts w:hint="eastAsia" w:ascii="黑体" w:hAnsi="黑体" w:eastAsia="黑体" w:cs="黑体"/>
          <w:sz w:val="28"/>
          <w:szCs w:val="28"/>
        </w:rPr>
        <w:t>(四）生源质量情况</w:t>
      </w:r>
    </w:p>
    <w:p>
      <w:pPr>
        <w:adjustRightInd w:val="0"/>
        <w:snapToGrid w:val="0"/>
        <w:spacing w:line="400" w:lineRule="exact"/>
        <w:ind w:firstLine="456" w:firstLineChars="200"/>
        <w:rPr>
          <w:rFonts w:ascii="宋体" w:hAnsi="宋体" w:cs="宋体"/>
          <w:sz w:val="24"/>
        </w:rPr>
      </w:pPr>
      <w:r>
        <w:rPr>
          <w:rFonts w:hint="eastAsia" w:ascii="宋体" w:hAnsi="宋体" w:cs="宋体"/>
          <w:sz w:val="24"/>
        </w:rPr>
        <w:t>2020年，学校面向全国29个省（市、区）计划招收本科生2499人，其中普通本科计划2375人，专升本计划111人，第二学士计划13人。实际报到2458人，报到率为98.36%。本科招生专业共有47个，涉及经济学、法学、教育学、文学、历史、理学、工学、医学、管理学和艺术学等10个学科门类。从录取结果看，学校生源充足，生源质量明显提升：省内普通</w:t>
      </w:r>
      <w:r>
        <w:rPr>
          <w:rFonts w:hint="eastAsia" w:ascii="宋体" w:hAnsi="宋体" w:cs="宋体"/>
          <w:color w:val="000000" w:themeColor="text1"/>
          <w:sz w:val="24"/>
          <w14:textFill>
            <w14:solidFill>
              <w14:schemeClr w14:val="tx1"/>
            </w14:solidFill>
          </w14:textFill>
        </w:rPr>
        <w:t>类一段分数线594，</w:t>
      </w:r>
      <w:r>
        <w:rPr>
          <w:rFonts w:hint="eastAsia" w:ascii="宋体" w:hAnsi="宋体" w:cs="宋体"/>
          <w:sz w:val="24"/>
        </w:rPr>
        <w:t>录取率为48.41%，共有11个专业在一段完成录取，一段人数、一段率、一段完成专业数均创历史新高，小学教育（师范）投档分更是高达611分。省内本科计划均在二段线上完成录取；省外新增甘肃、四川、青海一批招生，一批生源省份达6个。</w:t>
      </w:r>
    </w:p>
    <w:p>
      <w:pPr>
        <w:rPr>
          <w:rFonts w:ascii="黑体" w:hAnsi="黑体" w:eastAsia="黑体" w:cs="黑体"/>
          <w:sz w:val="30"/>
          <w:szCs w:val="30"/>
        </w:rPr>
      </w:pPr>
      <w:r>
        <w:rPr>
          <w:rFonts w:hint="eastAsia" w:ascii="黑体" w:hAnsi="黑体" w:eastAsia="黑体" w:cs="黑体"/>
          <w:sz w:val="30"/>
          <w:szCs w:val="30"/>
        </w:rPr>
        <w:t>二、师资与教学条件</w:t>
      </w:r>
    </w:p>
    <w:p>
      <w:pPr>
        <w:rPr>
          <w:rFonts w:ascii="黑体" w:hAnsi="黑体" w:eastAsia="黑体" w:cs="黑体"/>
          <w:sz w:val="28"/>
          <w:szCs w:val="28"/>
        </w:rPr>
      </w:pPr>
      <w:r>
        <w:rPr>
          <w:rFonts w:hint="eastAsia" w:ascii="黑体" w:hAnsi="黑体" w:eastAsia="黑体" w:cs="黑体"/>
          <w:sz w:val="28"/>
          <w:szCs w:val="28"/>
        </w:rPr>
        <w:t>（一）师资队伍数量及结构</w:t>
      </w:r>
    </w:p>
    <w:p>
      <w:pPr>
        <w:adjustRightInd w:val="0"/>
        <w:snapToGrid w:val="0"/>
        <w:rPr>
          <w:rFonts w:ascii="黑体" w:hAnsi="黑体" w:eastAsia="黑体" w:cs="黑体"/>
          <w:sz w:val="24"/>
        </w:rPr>
      </w:pPr>
      <w:r>
        <w:rPr>
          <w:rFonts w:hint="eastAsia" w:ascii="黑体" w:hAnsi="黑体" w:eastAsia="黑体" w:cs="黑体"/>
          <w:sz w:val="24"/>
        </w:rPr>
        <w:t>1. 教职工数量</w:t>
      </w:r>
    </w:p>
    <w:p>
      <w:pPr>
        <w:spacing w:line="400" w:lineRule="exact"/>
        <w:ind w:firstLine="456" w:firstLineChars="200"/>
        <w:rPr>
          <w:rFonts w:ascii="宋体" w:hAnsi="宋体" w:cs="宋体"/>
          <w:sz w:val="24"/>
        </w:rPr>
      </w:pPr>
      <w:r>
        <w:rPr>
          <w:rFonts w:hint="eastAsia" w:ascii="宋体" w:hAnsi="宋体" w:cs="宋体"/>
          <w:sz w:val="24"/>
        </w:rPr>
        <w:t>2020-2021学年，学校共有教职工1291人，其中专任教师883人，外聘教师74人，生师比14.43:1。</w:t>
      </w:r>
    </w:p>
    <w:p>
      <w:pPr>
        <w:adjustRightInd w:val="0"/>
        <w:snapToGrid w:val="0"/>
        <w:rPr>
          <w:rFonts w:ascii="黑体" w:hAnsi="黑体" w:eastAsia="黑体" w:cs="黑体"/>
          <w:sz w:val="24"/>
        </w:rPr>
      </w:pPr>
      <w:r>
        <w:rPr>
          <w:rFonts w:hint="eastAsia" w:ascii="黑体" w:hAnsi="黑体" w:eastAsia="黑体" w:cs="黑体"/>
          <w:sz w:val="24"/>
        </w:rPr>
        <w:t>2. 专任教师结构情况</w:t>
      </w:r>
    </w:p>
    <w:p>
      <w:pPr>
        <w:spacing w:line="400" w:lineRule="exact"/>
        <w:ind w:firstLine="456" w:firstLineChars="200"/>
        <w:rPr>
          <w:rFonts w:ascii="宋体" w:hAnsi="宋体" w:cs="宋体"/>
          <w:sz w:val="24"/>
        </w:rPr>
      </w:pPr>
      <w:r>
        <w:rPr>
          <w:rFonts w:hint="eastAsia" w:ascii="宋体" w:hAnsi="宋体" w:cs="宋体"/>
          <w:sz w:val="24"/>
        </w:rPr>
        <w:t>2020-2021学年，专任教师中具有硕士及以上学位798人，占专任教师总数的90.37%；其中具有博士学位515人，占专任教师总数58.32%；副高及以上职称439人，占专任教师总数的49.72%。学校3个月以上出国（境）访学经历的教师</w:t>
      </w:r>
      <w:r>
        <w:rPr>
          <w:rFonts w:hint="eastAsia" w:ascii="宋体" w:hAnsi="宋体" w:cs="宋体"/>
          <w:color w:val="000000" w:themeColor="text1"/>
          <w:sz w:val="24"/>
          <w14:textFill>
            <w14:solidFill>
              <w14:schemeClr w14:val="tx1"/>
            </w14:solidFill>
          </w14:textFill>
        </w:rPr>
        <w:t>224名，占专任教师数总数的25.37%，教师国际化水平进一步</w:t>
      </w:r>
      <w:r>
        <w:rPr>
          <w:rFonts w:hint="eastAsia" w:ascii="宋体" w:hAnsi="宋体" w:cs="宋体"/>
          <w:sz w:val="24"/>
        </w:rPr>
        <w:t>提高。</w:t>
      </w:r>
    </w:p>
    <w:p>
      <w:pPr>
        <w:spacing w:line="400" w:lineRule="exact"/>
        <w:ind w:firstLine="396" w:firstLineChars="200"/>
        <w:rPr>
          <w:rFonts w:ascii="宋体" w:hAnsi="宋体" w:cs="宋体"/>
          <w:sz w:val="24"/>
        </w:rPr>
      </w:pPr>
      <w:r>
        <w:drawing>
          <wp:anchor distT="0" distB="0" distL="114300" distR="114300" simplePos="0" relativeHeight="251660288" behindDoc="0" locked="0" layoutInCell="1" allowOverlap="1">
            <wp:simplePos x="0" y="0"/>
            <wp:positionH relativeFrom="column">
              <wp:posOffset>720725</wp:posOffset>
            </wp:positionH>
            <wp:positionV relativeFrom="paragraph">
              <wp:posOffset>125730</wp:posOffset>
            </wp:positionV>
            <wp:extent cx="4577715" cy="2743200"/>
            <wp:effectExtent l="0" t="0" r="0" b="0"/>
            <wp:wrapSquare wrapText="bothSides"/>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pPr>
        <w:spacing w:line="400" w:lineRule="exact"/>
        <w:ind w:firstLine="396" w:firstLineChars="200"/>
      </w:pPr>
    </w:p>
    <w:p>
      <w:pPr>
        <w:spacing w:line="400" w:lineRule="exact"/>
        <w:ind w:firstLine="396" w:firstLineChars="200"/>
      </w:pPr>
    </w:p>
    <w:p>
      <w:pPr>
        <w:spacing w:line="400" w:lineRule="exact"/>
        <w:ind w:firstLine="396" w:firstLineChars="200"/>
      </w:pPr>
    </w:p>
    <w:p>
      <w:pPr>
        <w:spacing w:line="400" w:lineRule="exact"/>
        <w:ind w:firstLine="396" w:firstLineChars="200"/>
      </w:pPr>
    </w:p>
    <w:p>
      <w:pPr>
        <w:spacing w:line="400" w:lineRule="exact"/>
        <w:ind w:firstLine="396" w:firstLineChars="200"/>
      </w:pPr>
    </w:p>
    <w:p>
      <w:pPr>
        <w:spacing w:line="400" w:lineRule="exact"/>
        <w:ind w:firstLine="396" w:firstLineChars="200"/>
      </w:pPr>
    </w:p>
    <w:p>
      <w:pPr>
        <w:spacing w:line="400" w:lineRule="exact"/>
        <w:ind w:firstLine="396" w:firstLineChars="200"/>
      </w:pPr>
    </w:p>
    <w:p>
      <w:pPr>
        <w:spacing w:line="400" w:lineRule="exact"/>
        <w:ind w:firstLine="396" w:firstLineChars="200"/>
      </w:pPr>
    </w:p>
    <w:p>
      <w:pPr>
        <w:spacing w:line="400" w:lineRule="exact"/>
        <w:ind w:firstLine="396" w:firstLineChars="200"/>
      </w:pPr>
    </w:p>
    <w:p>
      <w:pPr>
        <w:spacing w:line="400" w:lineRule="exact"/>
        <w:ind w:firstLine="396" w:firstLineChars="200"/>
      </w:pPr>
    </w:p>
    <w:p>
      <w:pPr>
        <w:pStyle w:val="3"/>
        <w:spacing w:line="400" w:lineRule="exact"/>
        <w:jc w:val="center"/>
      </w:pPr>
    </w:p>
    <w:p>
      <w:pPr>
        <w:pStyle w:val="3"/>
        <w:spacing w:line="400" w:lineRule="exact"/>
        <w:jc w:val="center"/>
        <w:rPr>
          <w:rFonts w:eastAsia="宋体"/>
          <w:sz w:val="24"/>
        </w:rPr>
      </w:pPr>
      <w:r>
        <w:rPr>
          <w:sz w:val="24"/>
        </w:rPr>
        <w:t xml:space="preserve">图 </w:t>
      </w:r>
      <w:r>
        <w:rPr>
          <w:rFonts w:hint="eastAsia"/>
          <w:sz w:val="24"/>
          <w:lang w:val="en-US" w:eastAsia="zh-CN"/>
        </w:rPr>
        <w:t>2</w:t>
      </w:r>
      <w:r>
        <w:rPr>
          <w:rFonts w:hint="eastAsia"/>
          <w:sz w:val="24"/>
        </w:rPr>
        <w:t>专任教师学位结构</w:t>
      </w:r>
    </w:p>
    <w:p>
      <w:pPr>
        <w:spacing w:line="400" w:lineRule="exact"/>
        <w:ind w:firstLine="456" w:firstLineChars="200"/>
        <w:rPr>
          <w:rFonts w:ascii="宋体" w:hAnsi="宋体" w:cs="宋体"/>
          <w:sz w:val="24"/>
        </w:rPr>
      </w:pPr>
    </w:p>
    <w:p>
      <w:pPr>
        <w:spacing w:line="400" w:lineRule="exact"/>
        <w:ind w:firstLine="456" w:firstLineChars="200"/>
        <w:rPr>
          <w:rFonts w:ascii="宋体" w:hAnsi="宋体" w:cs="宋体"/>
          <w:sz w:val="24"/>
        </w:rPr>
      </w:pPr>
    </w:p>
    <w:p>
      <w:pPr>
        <w:spacing w:line="400" w:lineRule="exact"/>
        <w:ind w:firstLine="396" w:firstLineChars="200"/>
      </w:pPr>
      <w:r>
        <w:drawing>
          <wp:anchor distT="0" distB="0" distL="114300" distR="114300" simplePos="0" relativeHeight="251661312" behindDoc="0" locked="0" layoutInCell="1" allowOverlap="1">
            <wp:simplePos x="0" y="0"/>
            <wp:positionH relativeFrom="column">
              <wp:posOffset>1239520</wp:posOffset>
            </wp:positionH>
            <wp:positionV relativeFrom="paragraph">
              <wp:posOffset>133985</wp:posOffset>
            </wp:positionV>
            <wp:extent cx="4030980" cy="2425065"/>
            <wp:effectExtent l="0" t="0" r="0" b="0"/>
            <wp:wrapSquare wrapText="bothSides"/>
            <wp:docPr id="6"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pPr>
        <w:pStyle w:val="3"/>
        <w:spacing w:line="400" w:lineRule="exact"/>
        <w:ind w:firstLine="376" w:firstLineChars="200"/>
      </w:pPr>
    </w:p>
    <w:p>
      <w:pPr>
        <w:pStyle w:val="3"/>
        <w:spacing w:line="400" w:lineRule="exact"/>
        <w:ind w:firstLine="376" w:firstLineChars="200"/>
      </w:pPr>
    </w:p>
    <w:p>
      <w:pPr>
        <w:pStyle w:val="3"/>
        <w:spacing w:line="400" w:lineRule="exact"/>
        <w:ind w:firstLine="376" w:firstLineChars="200"/>
      </w:pPr>
    </w:p>
    <w:p>
      <w:pPr>
        <w:pStyle w:val="3"/>
        <w:spacing w:line="400" w:lineRule="exact"/>
        <w:ind w:firstLine="376" w:firstLineChars="200"/>
      </w:pPr>
    </w:p>
    <w:p>
      <w:pPr>
        <w:pStyle w:val="3"/>
        <w:spacing w:line="400" w:lineRule="exact"/>
        <w:ind w:firstLine="376" w:firstLineChars="200"/>
      </w:pPr>
    </w:p>
    <w:p>
      <w:pPr>
        <w:pStyle w:val="3"/>
        <w:spacing w:line="400" w:lineRule="exact"/>
        <w:ind w:firstLine="376" w:firstLineChars="200"/>
      </w:pPr>
    </w:p>
    <w:p>
      <w:pPr>
        <w:pStyle w:val="3"/>
        <w:spacing w:line="400" w:lineRule="exact"/>
        <w:ind w:firstLine="376" w:firstLineChars="200"/>
      </w:pPr>
    </w:p>
    <w:p>
      <w:pPr>
        <w:pStyle w:val="3"/>
        <w:spacing w:line="400" w:lineRule="exact"/>
        <w:ind w:firstLine="376" w:firstLineChars="200"/>
      </w:pPr>
    </w:p>
    <w:p>
      <w:pPr>
        <w:pStyle w:val="3"/>
        <w:spacing w:line="400" w:lineRule="exact"/>
        <w:ind w:firstLine="376" w:firstLineChars="200"/>
      </w:pPr>
    </w:p>
    <w:p>
      <w:pPr>
        <w:pStyle w:val="3"/>
        <w:spacing w:line="400" w:lineRule="exact"/>
        <w:ind w:firstLine="456" w:firstLineChars="200"/>
        <w:jc w:val="center"/>
        <w:rPr>
          <w:sz w:val="24"/>
        </w:rPr>
      </w:pPr>
    </w:p>
    <w:p>
      <w:pPr>
        <w:pStyle w:val="3"/>
        <w:spacing w:line="400" w:lineRule="exact"/>
        <w:ind w:firstLine="456" w:firstLineChars="200"/>
        <w:jc w:val="center"/>
        <w:rPr>
          <w:rFonts w:eastAsia="宋体"/>
          <w:sz w:val="24"/>
        </w:rPr>
      </w:pPr>
      <w:r>
        <w:rPr>
          <w:sz w:val="24"/>
        </w:rPr>
        <w:t xml:space="preserve">图 </w:t>
      </w:r>
      <w:r>
        <w:rPr>
          <w:rFonts w:hint="eastAsia"/>
          <w:sz w:val="24"/>
          <w:lang w:val="en-US" w:eastAsia="zh-CN"/>
        </w:rPr>
        <w:t>3</w:t>
      </w:r>
      <w:r>
        <w:rPr>
          <w:rFonts w:hint="eastAsia"/>
          <w:sz w:val="24"/>
        </w:rPr>
        <w:t xml:space="preserve"> 专任教师职称结构</w:t>
      </w:r>
    </w:p>
    <w:p>
      <w:pPr>
        <w:spacing w:line="400" w:lineRule="exact"/>
        <w:ind w:firstLine="396" w:firstLineChars="200"/>
      </w:pPr>
      <w:r>
        <w:drawing>
          <wp:anchor distT="0" distB="0" distL="114300" distR="114300" simplePos="0" relativeHeight="251662336" behindDoc="0" locked="0" layoutInCell="1" allowOverlap="1">
            <wp:simplePos x="0" y="0"/>
            <wp:positionH relativeFrom="column">
              <wp:posOffset>895985</wp:posOffset>
            </wp:positionH>
            <wp:positionV relativeFrom="paragraph">
              <wp:posOffset>228600</wp:posOffset>
            </wp:positionV>
            <wp:extent cx="4627245" cy="3012440"/>
            <wp:effectExtent l="0" t="0" r="0" b="0"/>
            <wp:wrapSquare wrapText="bothSides"/>
            <wp:docPr id="10"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pPr>
        <w:spacing w:line="400" w:lineRule="exact"/>
        <w:ind w:firstLine="456" w:firstLineChars="200"/>
        <w:rPr>
          <w:rFonts w:ascii="宋体" w:hAnsi="宋体" w:cs="宋体"/>
          <w:sz w:val="24"/>
        </w:rPr>
      </w:pPr>
    </w:p>
    <w:p>
      <w:pPr>
        <w:spacing w:line="400" w:lineRule="exact"/>
        <w:ind w:firstLine="456" w:firstLineChars="200"/>
        <w:rPr>
          <w:rFonts w:ascii="宋体" w:hAnsi="宋体" w:cs="宋体"/>
          <w:sz w:val="24"/>
        </w:rPr>
      </w:pPr>
    </w:p>
    <w:p>
      <w:pPr>
        <w:spacing w:line="400" w:lineRule="exact"/>
        <w:ind w:firstLine="456" w:firstLineChars="200"/>
        <w:rPr>
          <w:rFonts w:ascii="宋体" w:hAnsi="宋体" w:cs="宋体"/>
          <w:sz w:val="24"/>
        </w:rPr>
      </w:pPr>
    </w:p>
    <w:p>
      <w:pPr>
        <w:spacing w:line="400" w:lineRule="exact"/>
        <w:ind w:firstLine="456" w:firstLineChars="200"/>
        <w:rPr>
          <w:rFonts w:ascii="宋体" w:hAnsi="宋体" w:cs="宋体"/>
          <w:sz w:val="24"/>
        </w:rPr>
      </w:pPr>
    </w:p>
    <w:p>
      <w:pPr>
        <w:spacing w:line="400" w:lineRule="exact"/>
        <w:ind w:firstLine="456" w:firstLineChars="200"/>
        <w:rPr>
          <w:rFonts w:ascii="宋体" w:hAnsi="宋体" w:cs="宋体"/>
          <w:sz w:val="24"/>
        </w:rPr>
      </w:pPr>
    </w:p>
    <w:p>
      <w:pPr>
        <w:spacing w:line="400" w:lineRule="exact"/>
        <w:ind w:firstLine="456" w:firstLineChars="200"/>
        <w:rPr>
          <w:rFonts w:ascii="宋体" w:hAnsi="宋体" w:cs="宋体"/>
          <w:sz w:val="24"/>
        </w:rPr>
      </w:pPr>
    </w:p>
    <w:p>
      <w:pPr>
        <w:spacing w:line="400" w:lineRule="exact"/>
        <w:ind w:firstLine="456" w:firstLineChars="200"/>
        <w:rPr>
          <w:rFonts w:ascii="宋体" w:hAnsi="宋体" w:cs="宋体"/>
          <w:sz w:val="24"/>
        </w:rPr>
      </w:pPr>
    </w:p>
    <w:p>
      <w:pPr>
        <w:spacing w:line="400" w:lineRule="exact"/>
        <w:rPr>
          <w:rFonts w:ascii="宋体" w:hAnsi="宋体" w:cs="宋体"/>
          <w:b/>
          <w:sz w:val="24"/>
        </w:rPr>
      </w:pPr>
    </w:p>
    <w:p>
      <w:pPr>
        <w:adjustRightInd w:val="0"/>
        <w:snapToGrid w:val="0"/>
        <w:rPr>
          <w:rFonts w:ascii="黑体" w:hAnsi="黑体" w:eastAsia="黑体" w:cs="黑体"/>
          <w:sz w:val="24"/>
        </w:rPr>
      </w:pPr>
    </w:p>
    <w:p>
      <w:pPr>
        <w:adjustRightInd w:val="0"/>
        <w:snapToGrid w:val="0"/>
        <w:rPr>
          <w:rFonts w:ascii="黑体" w:hAnsi="黑体" w:eastAsia="黑体" w:cs="黑体"/>
          <w:sz w:val="24"/>
        </w:rPr>
      </w:pPr>
    </w:p>
    <w:p>
      <w:pPr>
        <w:adjustRightInd w:val="0"/>
        <w:snapToGrid w:val="0"/>
        <w:rPr>
          <w:rFonts w:ascii="黑体" w:hAnsi="黑体" w:eastAsia="黑体" w:cs="黑体"/>
          <w:sz w:val="24"/>
        </w:rPr>
      </w:pPr>
    </w:p>
    <w:p>
      <w:pPr>
        <w:adjustRightInd w:val="0"/>
        <w:snapToGrid w:val="0"/>
        <w:rPr>
          <w:rFonts w:ascii="黑体" w:hAnsi="黑体" w:eastAsia="黑体" w:cs="黑体"/>
          <w:sz w:val="24"/>
        </w:rPr>
      </w:pPr>
    </w:p>
    <w:p>
      <w:pPr>
        <w:adjustRightInd w:val="0"/>
        <w:snapToGrid w:val="0"/>
        <w:rPr>
          <w:rFonts w:ascii="黑体" w:hAnsi="黑体" w:eastAsia="黑体" w:cs="黑体"/>
          <w:sz w:val="24"/>
        </w:rPr>
      </w:pPr>
    </w:p>
    <w:p>
      <w:pPr>
        <w:pStyle w:val="3"/>
        <w:spacing w:line="400" w:lineRule="exact"/>
        <w:ind w:firstLine="456" w:firstLineChars="200"/>
        <w:jc w:val="center"/>
        <w:rPr>
          <w:rFonts w:eastAsia="宋体"/>
          <w:sz w:val="24"/>
        </w:rPr>
      </w:pPr>
      <w:r>
        <w:rPr>
          <w:sz w:val="24"/>
        </w:rPr>
        <w:t xml:space="preserve">图 </w:t>
      </w:r>
      <w:r>
        <w:rPr>
          <w:rFonts w:hint="eastAsia"/>
          <w:sz w:val="24"/>
          <w:lang w:val="en-US" w:eastAsia="zh-CN"/>
        </w:rPr>
        <w:t>4</w:t>
      </w:r>
      <w:r>
        <w:rPr>
          <w:rFonts w:hint="eastAsia"/>
          <w:sz w:val="24"/>
        </w:rPr>
        <w:t xml:space="preserve"> 专任教师年龄结构</w:t>
      </w:r>
    </w:p>
    <w:p>
      <w:pPr>
        <w:adjustRightInd w:val="0"/>
        <w:snapToGrid w:val="0"/>
        <w:rPr>
          <w:rFonts w:hint="eastAsia" w:ascii="黑体" w:hAnsi="黑体" w:eastAsia="黑体" w:cs="黑体"/>
          <w:sz w:val="24"/>
        </w:rPr>
      </w:pPr>
    </w:p>
    <w:p>
      <w:pPr>
        <w:adjustRightInd w:val="0"/>
        <w:snapToGrid w:val="0"/>
        <w:rPr>
          <w:rFonts w:ascii="黑体" w:hAnsi="黑体" w:eastAsia="黑体" w:cs="黑体"/>
          <w:sz w:val="24"/>
        </w:rPr>
      </w:pPr>
      <w:r>
        <w:rPr>
          <w:rFonts w:hint="eastAsia" w:ascii="黑体" w:hAnsi="黑体" w:eastAsia="黑体" w:cs="黑体"/>
          <w:sz w:val="24"/>
        </w:rPr>
        <w:t>3. 杰出人才队伍情况</w:t>
      </w:r>
    </w:p>
    <w:p>
      <w:pPr>
        <w:spacing w:line="400" w:lineRule="exact"/>
        <w:ind w:firstLine="456" w:firstLineChars="200"/>
        <w:rPr>
          <w:rFonts w:ascii="宋体" w:hAnsi="宋体" w:cs="宋体"/>
          <w:sz w:val="24"/>
        </w:rPr>
      </w:pPr>
      <w:r>
        <w:rPr>
          <w:rFonts w:hint="eastAsia" w:ascii="宋体" w:hAnsi="宋体" w:cs="宋体"/>
          <w:sz w:val="24"/>
        </w:rPr>
        <w:t>我校现有外国国家科学院院士1人、共享院士5人、“长江学者”讲座教授1人；国家教学名师、国家“万人计划”等国家级人才8人；部级岗位科学家3人；省“万人计划”等省级人才14人；省特聘教授（钱江学者）3人；省有突出贡献中青年专家5人；国务院政府特殊津贴11人；全国优秀科技工作者1人；全国百名“两课”优秀教师1人；中科院“百人计划”专家1人；省“151”人才工程重点资助培养人员2人，第一、二层次人选16人，其它省百千万人才工程百千层次人才5人；省宣传思想文化系统“五个一批”优秀人才3人；浙江省优秀科技工作者1人；省高校中青年学科带头人28人；省（高校）优秀教师9人；省高等学校教学名师4人；省高等学校教坛新秀4人；首批“浙江省高校领军人才培养计划”入选者15人；湖州市“1112人才工程”学术技术带头人培养人员54人；南太湖优秀文化人才12人；“南太湖特支计划”入选者37人。</w:t>
      </w:r>
    </w:p>
    <w:p>
      <w:pPr>
        <w:rPr>
          <w:rFonts w:ascii="黑体" w:hAnsi="黑体" w:eastAsia="黑体" w:cs="黑体"/>
          <w:sz w:val="28"/>
          <w:szCs w:val="28"/>
        </w:rPr>
      </w:pPr>
      <w:r>
        <w:rPr>
          <w:rFonts w:hint="eastAsia" w:ascii="黑体" w:hAnsi="黑体" w:eastAsia="黑体" w:cs="黑体"/>
          <w:sz w:val="28"/>
          <w:szCs w:val="28"/>
        </w:rPr>
        <w:t>（二）教授承担本科课程情况</w:t>
      </w:r>
    </w:p>
    <w:p>
      <w:pPr>
        <w:spacing w:line="400" w:lineRule="exact"/>
        <w:ind w:firstLine="456" w:firstLineChars="200"/>
        <w:rPr>
          <w:rFonts w:ascii="宋体" w:hAnsi="宋体" w:cs="宋体"/>
          <w:sz w:val="24"/>
        </w:rPr>
      </w:pPr>
      <w:r>
        <w:rPr>
          <w:rFonts w:hint="eastAsia" w:ascii="宋体" w:hAnsi="宋体" w:cs="宋体"/>
          <w:sz w:val="24"/>
        </w:rPr>
        <w:t>学校认真贯彻落实《教育部关于加快建设高水平本科教育 全面提高人才培养能力的意见》《浙江省教育厅关于加快建设高水平本科教育的实施意见》等文件精神，明确教授承担本科教学任务，鼓励教授、副教授为本科生开设通识教育核心课、新生研讨课等，学校《关于专业技术职务评聘工作实施意见》《教师教学工作规范》等文件也对教授讲授本专科课程与课时量有明确规定。2020-2021学年，全校开设课程门数2244门，开设课程总门次4889门次，教授授课345门次，占总课程门次比例7.06%，教授为本科生授课比例为98.26%。</w:t>
      </w:r>
    </w:p>
    <w:p>
      <w:pPr>
        <w:rPr>
          <w:rFonts w:ascii="黑体" w:hAnsi="黑体" w:eastAsia="黑体" w:cs="黑体"/>
          <w:sz w:val="28"/>
          <w:szCs w:val="28"/>
        </w:rPr>
      </w:pPr>
      <w:r>
        <w:rPr>
          <w:rFonts w:hint="eastAsia" w:ascii="黑体" w:hAnsi="黑体" w:eastAsia="黑体" w:cs="黑体"/>
          <w:sz w:val="28"/>
          <w:szCs w:val="28"/>
        </w:rPr>
        <w:t>（三）教学经费投入</w:t>
      </w:r>
    </w:p>
    <w:p>
      <w:pPr>
        <w:spacing w:line="400" w:lineRule="exact"/>
        <w:ind w:firstLine="456" w:firstLineChars="200"/>
        <w:rPr>
          <w:rFonts w:ascii="宋体" w:hAnsi="宋体" w:cs="宋体"/>
          <w:color w:val="0000FF"/>
          <w:sz w:val="24"/>
        </w:rPr>
      </w:pPr>
      <w:r>
        <w:rPr>
          <w:rFonts w:hint="eastAsia" w:ascii="宋体" w:hAnsi="宋体" w:cs="宋体"/>
          <w:sz w:val="24"/>
        </w:rPr>
        <w:t>学校确保教学经费投入，优化经费支出结构。2020年学校教学日常运行支出3412.27万元，生均2677元；学校年度教学改革与建设专项经费3164.28万元，其中教学改革支出679.87万</w:t>
      </w:r>
      <w:r>
        <w:rPr>
          <w:rFonts w:hint="eastAsia" w:ascii="宋体" w:hAnsi="宋体" w:cs="宋体"/>
          <w:color w:val="000000" w:themeColor="text1"/>
          <w:sz w:val="24"/>
          <w14:textFill>
            <w14:solidFill>
              <w14:schemeClr w14:val="tx1"/>
            </w14:solidFill>
          </w14:textFill>
        </w:rPr>
        <w:t>元，</w:t>
      </w:r>
      <w:r>
        <w:rPr>
          <w:rFonts w:hint="eastAsia" w:ascii="宋体" w:hAnsi="宋体" w:cs="宋体"/>
          <w:color w:val="000000" w:themeColor="text1"/>
          <w:sz w:val="24"/>
          <w:lang w:bidi="ar"/>
          <w14:textFill>
            <w14:solidFill>
              <w14:schemeClr w14:val="tx1"/>
            </w14:solidFill>
          </w14:textFill>
        </w:rPr>
        <w:t>投入5105万元用于实验室建设，本科</w:t>
      </w:r>
      <w:r>
        <w:rPr>
          <w:rFonts w:hint="eastAsia" w:ascii="宋体" w:hAnsi="宋体" w:cs="宋体"/>
          <w:color w:val="000000" w:themeColor="text1"/>
          <w:sz w:val="24"/>
          <w14:textFill>
            <w14:solidFill>
              <w14:schemeClr w14:val="tx1"/>
            </w14:solidFill>
          </w14:textFill>
        </w:rPr>
        <w:t>实验经费投入502.89万，实</w:t>
      </w:r>
      <w:r>
        <w:rPr>
          <w:rFonts w:hint="eastAsia" w:ascii="宋体" w:hAnsi="宋体" w:cs="宋体"/>
          <w:sz w:val="24"/>
        </w:rPr>
        <w:t>习经费投入335.44万元。教学经费投入逐年增长，有效改善了教学条件，促进了教学改革和建设，保证了教学质量的稳步提升。</w:t>
      </w:r>
    </w:p>
    <w:p>
      <w:pPr>
        <w:rPr>
          <w:rFonts w:ascii="黑体" w:hAnsi="黑体" w:eastAsia="黑体" w:cs="黑体"/>
          <w:sz w:val="28"/>
          <w:szCs w:val="28"/>
        </w:rPr>
      </w:pPr>
      <w:r>
        <w:rPr>
          <w:rFonts w:hint="eastAsia" w:ascii="黑体" w:hAnsi="黑体" w:eastAsia="黑体" w:cs="黑体"/>
          <w:sz w:val="28"/>
          <w:szCs w:val="28"/>
        </w:rPr>
        <w:t>（四）教学用房及仪器设备</w:t>
      </w:r>
    </w:p>
    <w:p>
      <w:pPr>
        <w:spacing w:line="400" w:lineRule="exact"/>
        <w:ind w:firstLine="456" w:firstLineChars="200"/>
        <w:rPr>
          <w:rFonts w:ascii="宋体" w:hAnsi="宋体" w:cs="宋体"/>
          <w:sz w:val="24"/>
        </w:rPr>
      </w:pPr>
      <w:r>
        <w:rPr>
          <w:rFonts w:hint="eastAsia" w:ascii="宋体" w:hAnsi="宋体" w:cs="宋体"/>
          <w:color w:val="000000" w:themeColor="text1"/>
          <w:sz w:val="24"/>
          <w:lang w:bidi="ar"/>
          <w14:textFill>
            <w14:solidFill>
              <w14:schemeClr w14:val="tx1"/>
            </w14:solidFill>
          </w14:textFill>
        </w:rPr>
        <w:t>学校现有教室63289.19平方米（共享面积19430.96平方米），图书馆54810.29平方米（共享面积26954.38平方米），实验室、实习场所163707.506平方米（共享面积25864.72平方米），体育馆12559.89平方米(含共享面积6268平方米)，行政办公用房32997.244平方米（含共享面积12429.33）。全校教学行政用房总面积348756.54平方米（含共享面积96213.17平方米)，生均教学行政用房面积30.67平方米，生均实验室面积14.40平方米。2020-2021学年，全校单价1000元以上的仪器设备台件数达到2</w:t>
      </w:r>
      <w:r>
        <w:rPr>
          <w:rFonts w:hint="eastAsia" w:ascii="宋体" w:hAnsi="宋体" w:cs="宋体"/>
          <w:color w:val="000000" w:themeColor="text1"/>
          <w:sz w:val="24"/>
          <w14:textFill>
            <w14:solidFill>
              <w14:schemeClr w14:val="tx1"/>
            </w14:solidFill>
          </w14:textFill>
        </w:rPr>
        <w:t>8417台（套），总金额32776.09万元。</w:t>
      </w:r>
      <w:r>
        <w:rPr>
          <w:rFonts w:hint="eastAsia" w:ascii="宋体" w:hAnsi="宋体" w:cs="宋体"/>
          <w:color w:val="000000" w:themeColor="text1"/>
          <w:sz w:val="24"/>
          <w:lang w:bidi="ar"/>
          <w14:textFill>
            <w14:solidFill>
              <w14:schemeClr w14:val="tx1"/>
            </w14:solidFill>
          </w14:textFill>
        </w:rPr>
        <w:t>当年新增教学、科研仪器设备资产值5895.39万元，新增教学、科研仪器设备占比21.93%，生均教学科研仪器设备值27828元。</w:t>
      </w:r>
    </w:p>
    <w:p>
      <w:pPr>
        <w:rPr>
          <w:rFonts w:ascii="黑体" w:hAnsi="黑体" w:eastAsia="黑体" w:cs="黑体"/>
          <w:sz w:val="28"/>
          <w:szCs w:val="28"/>
        </w:rPr>
      </w:pPr>
      <w:r>
        <w:rPr>
          <w:rFonts w:hint="eastAsia" w:ascii="黑体" w:hAnsi="黑体" w:eastAsia="黑体" w:cs="黑体"/>
          <w:sz w:val="28"/>
          <w:szCs w:val="28"/>
        </w:rPr>
        <w:t>（五）图书信息资源与利用</w:t>
      </w:r>
    </w:p>
    <w:p>
      <w:pPr>
        <w:spacing w:line="400" w:lineRule="exact"/>
        <w:ind w:firstLine="456" w:firstLineChars="200"/>
        <w:rPr>
          <w:rFonts w:ascii="宋体" w:hAnsi="宋体" w:cs="宋体"/>
          <w:sz w:val="24"/>
          <w:lang w:bidi="ar"/>
        </w:rPr>
      </w:pPr>
      <w:r>
        <w:rPr>
          <w:rFonts w:hint="eastAsia" w:ascii="宋体" w:hAnsi="宋体" w:cs="宋体"/>
          <w:sz w:val="24"/>
          <w:lang w:bidi="ar"/>
        </w:rPr>
        <w:t>学校图书馆现有馆舍2座：沈左尧图书馆和东校区图书馆。截至2021年9月，学校图书馆馆藏纸本图书146.22万册，生均114.72册，电子期刊171.58万种，全学年新增本图书5.43万册。其中，拥有古籍文献、民国文献、世界英语与东方英语语言文学文献及港台作家文学书库等多个特色馆藏，馆藏珍贵文献有《吴兴丛书》《百纳本二十四史》《申报》（影印本，1872-1949）、明刊本《会稽三赋》（已列入国家古籍保护名录）等古籍善本，有外文纸本图书5.07万册，古籍1.9万册。订购有中国知网、万方数字化期刊与博硕论文、Springer-Link、PQDT、EBSCOhost、Web of Science SCIE、ScienceDirect等中外文数据库47个，并自建有《湖州历史人物研究数据库》《湖州师院图书馆古籍电子库》等数据库6个。全年接待读者18.64万人次，借阅图书2.95万本次，电子资源下载量129.74万次。</w:t>
      </w:r>
    </w:p>
    <w:p>
      <w:pPr>
        <w:spacing w:line="400" w:lineRule="exact"/>
        <w:ind w:firstLine="456" w:firstLineChars="200"/>
        <w:rPr>
          <w:rFonts w:ascii="宋体" w:hAnsi="宋体" w:cs="宋体"/>
          <w:sz w:val="24"/>
        </w:rPr>
      </w:pPr>
      <w:r>
        <w:rPr>
          <w:rFonts w:hint="eastAsia" w:ascii="宋体" w:hAnsi="宋体" w:cs="宋体"/>
          <w:sz w:val="24"/>
          <w:lang w:bidi="ar"/>
        </w:rPr>
        <w:t>图书馆按照理念领先、技术先进、资源整合、服务创新的思路，着力构建“四为一体”的服务型图书馆。（1）全年出具学科发展潜力值报告、临床医学学科发展分析数据报告、高被引和热点论文数据报告、ESI被引频次数据报告等20余篇，为学校数学、临床医学两个学科进入ESI全球前1%贡献了重要力量。（2）开展传承湖州非物质文化遗产的“左尧微言堂”文化品牌系列活动，推出“左尧约读”推广活动，参与学生众多，内容丰富，形式多样，精彩纷呈。（3）推动图书纸电一体化建设，构建虚拟与现实相融合的图书馆文献保障体系，实现了纸本图书与电子图书的无缝对接。（4）研发并推广智慧书库管理系统建设，100余万册图书纳入智慧化管理。通过技术创新，完善圕圕学术文献服务平台功能，进一步加大文献共享获取力度，在疫情期间传递电子教材等资源，提升线上服务能力。（5）创新图书馆信息化管理体系，优化座位管理预约系统、自动寄存包系统、门禁刷脸认证系统，有效支撑图书馆业务管理。（6）践行人性化空间服务理念，对信息共享空间、学习空间、研修空间、休闲阅读空间、咖啡吧等进行优化调整，把更多的教学和科研活动直接引入馆内，也为读者打造更舒适的学习环境。</w:t>
      </w:r>
    </w:p>
    <w:p>
      <w:pPr>
        <w:rPr>
          <w:rFonts w:ascii="黑体" w:hAnsi="黑体" w:eastAsia="黑体" w:cs="黑体"/>
          <w:sz w:val="30"/>
          <w:szCs w:val="30"/>
        </w:rPr>
      </w:pPr>
      <w:r>
        <w:rPr>
          <w:rFonts w:hint="eastAsia" w:ascii="黑体" w:hAnsi="黑体" w:eastAsia="黑体" w:cs="黑体"/>
          <w:sz w:val="30"/>
          <w:szCs w:val="30"/>
        </w:rPr>
        <w:t>三、教学建设与改革</w:t>
      </w:r>
    </w:p>
    <w:p>
      <w:pPr>
        <w:rPr>
          <w:rFonts w:ascii="黑体" w:hAnsi="黑体" w:eastAsia="黑体" w:cs="黑体"/>
          <w:sz w:val="28"/>
          <w:szCs w:val="28"/>
        </w:rPr>
      </w:pPr>
      <w:r>
        <w:rPr>
          <w:rFonts w:hint="eastAsia" w:ascii="黑体" w:hAnsi="黑体" w:eastAsia="黑体" w:cs="黑体"/>
          <w:sz w:val="28"/>
          <w:szCs w:val="28"/>
        </w:rPr>
        <w:t>（一）专业建设与改革</w:t>
      </w:r>
    </w:p>
    <w:p>
      <w:pPr>
        <w:adjustRightInd w:val="0"/>
        <w:snapToGrid w:val="0"/>
        <w:rPr>
          <w:rFonts w:ascii="黑体" w:hAnsi="黑体" w:eastAsia="黑体" w:cs="黑体"/>
          <w:sz w:val="24"/>
        </w:rPr>
      </w:pPr>
      <w:r>
        <w:rPr>
          <w:rFonts w:hint="eastAsia" w:ascii="黑体" w:hAnsi="黑体" w:eastAsia="黑体" w:cs="黑体"/>
          <w:sz w:val="24"/>
        </w:rPr>
        <w:t>1. 优化专业结构</w:t>
      </w:r>
    </w:p>
    <w:p>
      <w:pPr>
        <w:spacing w:line="400" w:lineRule="exact"/>
        <w:ind w:firstLine="456" w:firstLineChars="200"/>
        <w:rPr>
          <w:rFonts w:ascii="宋体" w:hAnsi="宋体" w:cs="宋体"/>
          <w:sz w:val="24"/>
        </w:rPr>
      </w:pPr>
      <w:r>
        <w:rPr>
          <w:rFonts w:hint="eastAsia" w:ascii="宋体" w:hAnsi="宋体" w:cs="宋体"/>
          <w:sz w:val="24"/>
        </w:rPr>
        <w:t>学校根据办学定位，对接浙江省、湖州市等区域经济社会发展需要，按照“做优师范、做大工学、做强农医、做精数理、做特人文、做活经管”的建设思路，着力推进教师教育、现代农业、医学和健康、新能源和新材料、先进装备制造业、电子和信息技术、现代服务业、文化创意与传播八大专业群建设，积极发展适应现代产业体系需求的新兴学科专业和特色专业，以专业内涵建设引领人才培养质量提升。围绕先进装备制造、电子和信息技术等产业，成立了绿色装备学院、AI学院等六大产教融合学院，形成了与地方经济社会发展良性互动的专业发展格局。修订专业建设与管理办法，健全专业准入、预警和退出机制，有序推进专业动态调整，逐步优化专业结构，将学校招生专业数量稳定在46个左右。2020-2021学年撤销市场营销专业，2021年申请增设财务管理和新闻学第二学士学位专业。</w:t>
      </w:r>
    </w:p>
    <w:p>
      <w:pPr>
        <w:adjustRightInd w:val="0"/>
        <w:snapToGrid w:val="0"/>
        <w:rPr>
          <w:rFonts w:ascii="黑体" w:hAnsi="黑体" w:eastAsia="黑体" w:cs="黑体"/>
          <w:sz w:val="24"/>
        </w:rPr>
      </w:pPr>
      <w:r>
        <w:rPr>
          <w:rFonts w:hint="eastAsia" w:ascii="黑体" w:hAnsi="黑体" w:eastAsia="黑体" w:cs="黑体"/>
          <w:sz w:val="24"/>
        </w:rPr>
        <w:t>2. 提升专业建设水平</w:t>
      </w:r>
    </w:p>
    <w:p>
      <w:pPr>
        <w:spacing w:line="400" w:lineRule="exact"/>
        <w:ind w:firstLine="456" w:firstLineChars="200"/>
        <w:rPr>
          <w:rFonts w:ascii="宋体" w:hAnsi="宋体" w:cs="宋体"/>
          <w:sz w:val="24"/>
        </w:rPr>
      </w:pPr>
      <w:r>
        <w:rPr>
          <w:rFonts w:hint="eastAsia" w:ascii="宋体" w:hAnsi="宋体" w:cs="宋体"/>
          <w:sz w:val="24"/>
        </w:rPr>
        <w:t>一是开展一流专业建设工作。学校根据教育部一流专业建设“双万计划”要求，全面落实“以本为本”“四个回归”理念，切实巩固人才培养中心地位和本科教学基础地位，依托一流学科和优势特色专业，推动学科专业一体化协同发展，深化专业综合改革，提升专业建设水平。2</w:t>
      </w:r>
      <w:r>
        <w:rPr>
          <w:rFonts w:hint="eastAsia" w:ascii="宋体" w:hAnsi="宋体" w:cs="宋体"/>
          <w:spacing w:val="-6"/>
          <w:sz w:val="24"/>
        </w:rPr>
        <w:t>021年获批数学与应用数学、计算机科学与技术2个国家级一流本科专业建设点，思想政治教育、国际经济与贸易2个省级一流本科专业建设点，立项7个校一流本科专业培育项目</w:t>
      </w:r>
      <w:r>
        <w:rPr>
          <w:rFonts w:hint="eastAsia" w:ascii="宋体" w:hAnsi="宋体" w:cs="宋体"/>
          <w:sz w:val="24"/>
        </w:rPr>
        <w:t>。</w:t>
      </w:r>
    </w:p>
    <w:p>
      <w:pPr>
        <w:spacing w:line="400" w:lineRule="exact"/>
        <w:ind w:firstLine="456" w:firstLineChars="200"/>
        <w:rPr>
          <w:rFonts w:ascii="宋体" w:hAnsi="宋体" w:cs="宋体"/>
          <w:sz w:val="24"/>
        </w:rPr>
      </w:pPr>
      <w:r>
        <w:rPr>
          <w:rFonts w:hint="eastAsia" w:ascii="宋体" w:hAnsi="宋体" w:cs="宋体"/>
          <w:sz w:val="24"/>
        </w:rPr>
        <w:t>二是积极推进“四新”建设。</w:t>
      </w:r>
      <w:r>
        <w:rPr>
          <w:rFonts w:hint="eastAsia" w:ascii="宋体" w:hAnsi="宋体" w:cs="宋体"/>
          <w:sz w:val="24"/>
          <w:shd w:val="clear" w:color="auto" w:fill="FFFFFF"/>
        </w:rPr>
        <w:t>立足地方师范院校新工科人才培养实际，基于“求同存异”原则，从多主体出发，重视差异需求、聚焦共同追求，围绕培养方案重构、教育生态打造、体制机制创新，构建既适应地方师范院校工科人才培养、又符合地方需求的协同育人体系，打造“教育链、人才链、知识链、产业链”四链融合的创新实践平台。2020年10月，《差异需求、共同追求、多主体协同——地方师范院校新工科人才培养模式探索与实践》获批为教育部新工科综合改革类协同育人项目。此外，</w:t>
      </w:r>
      <w:r>
        <w:rPr>
          <w:rFonts w:hint="eastAsia" w:ascii="宋体" w:hAnsi="宋体" w:cs="宋体"/>
          <w:sz w:val="24"/>
        </w:rPr>
        <w:t>依托“两山”理念发源地的独特优势，推进国家“卓越农林人才”培养计划。2020年9月，《新农科背景下“绿色渔业”复合型人才培养模式创新实践》获批教育部新农科研究与改革实践项目。</w:t>
      </w:r>
    </w:p>
    <w:p>
      <w:pPr>
        <w:spacing w:line="400" w:lineRule="exact"/>
        <w:ind w:firstLine="456" w:firstLineChars="200"/>
        <w:rPr>
          <w:rFonts w:ascii="宋体" w:hAnsi="宋体" w:cs="宋体"/>
          <w:b/>
          <w:bCs/>
          <w:sz w:val="24"/>
        </w:rPr>
      </w:pPr>
      <w:r>
        <w:rPr>
          <w:rFonts w:hint="eastAsia" w:ascii="宋体" w:hAnsi="宋体" w:cs="宋体"/>
          <w:bCs/>
          <w:sz w:val="24"/>
        </w:rPr>
        <w:t>三是以专业认证为引领持续提升专业建设质量。学校大</w:t>
      </w:r>
      <w:r>
        <w:rPr>
          <w:rFonts w:hint="eastAsia" w:ascii="宋体" w:hAnsi="宋体" w:cs="宋体"/>
          <w:sz w:val="24"/>
          <w:shd w:val="clear" w:color="auto" w:fill="FFFFFF"/>
        </w:rPr>
        <w:t>力推进师范专业认证、医学专业认证工作，推动各专业基于“学生中心、产出导向、持续改进”的认证理念开展专业建设，不断提升人才培养质量。目前，我校已有小学教育、数学与应用数学、学前教育、汉语言文学、思想政治教育、物理学、临床医学7专业通过教育部专业</w:t>
      </w:r>
      <w:r>
        <w:rPr>
          <w:rFonts w:hint="eastAsia" w:ascii="宋体" w:hAnsi="宋体" w:cs="宋体"/>
          <w:sz w:val="24"/>
        </w:rPr>
        <w:t>认证，有效期均为6年。</w:t>
      </w:r>
    </w:p>
    <w:p>
      <w:pPr>
        <w:widowControl/>
        <w:spacing w:line="400" w:lineRule="exact"/>
        <w:jc w:val="center"/>
        <w:rPr>
          <w:rFonts w:ascii="宋体" w:hAnsi="宋体" w:cs="宋体"/>
          <w:b/>
          <w:bCs/>
          <w:szCs w:val="21"/>
        </w:rPr>
      </w:pPr>
      <w:r>
        <w:rPr>
          <w:rFonts w:hint="eastAsia" w:ascii="宋体" w:hAnsi="宋体" w:cs="宋体"/>
          <w:b/>
          <w:bCs/>
          <w:szCs w:val="21"/>
        </w:rPr>
        <w:t>表2  国家级教学建设项目</w:t>
      </w:r>
    </w:p>
    <w:tbl>
      <w:tblPr>
        <w:tblStyle w:val="9"/>
        <w:tblW w:w="925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1" w:type="dxa"/>
          <w:bottom w:w="0" w:type="dxa"/>
          <w:right w:w="51" w:type="dxa"/>
        </w:tblCellMar>
      </w:tblPr>
      <w:tblGrid>
        <w:gridCol w:w="759"/>
        <w:gridCol w:w="3612"/>
        <w:gridCol w:w="3784"/>
        <w:gridCol w:w="110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trHeight w:val="465" w:hRule="atLeast"/>
          <w:jc w:val="center"/>
        </w:trPr>
        <w:tc>
          <w:tcPr>
            <w:tcW w:w="759" w:type="dxa"/>
            <w:tcBorders>
              <w:tl2br w:val="nil"/>
              <w:tr2bl w:val="nil"/>
            </w:tcBorders>
            <w:vAlign w:val="center"/>
          </w:tcPr>
          <w:p>
            <w:pPr>
              <w:adjustRightInd w:val="0"/>
              <w:snapToGrid w:val="0"/>
              <w:spacing w:line="0" w:lineRule="atLeast"/>
              <w:jc w:val="center"/>
              <w:rPr>
                <w:rFonts w:ascii="黑体" w:hAnsi="黑体" w:eastAsia="黑体" w:cs="黑体"/>
                <w:szCs w:val="21"/>
              </w:rPr>
            </w:pPr>
            <w:r>
              <w:rPr>
                <w:rFonts w:hint="eastAsia" w:ascii="黑体" w:hAnsi="黑体" w:eastAsia="黑体" w:cs="黑体"/>
                <w:szCs w:val="21"/>
              </w:rPr>
              <w:t>年份</w:t>
            </w:r>
          </w:p>
        </w:tc>
        <w:tc>
          <w:tcPr>
            <w:tcW w:w="3612" w:type="dxa"/>
            <w:tcBorders>
              <w:tl2br w:val="nil"/>
              <w:tr2bl w:val="nil"/>
            </w:tcBorders>
            <w:vAlign w:val="center"/>
          </w:tcPr>
          <w:p>
            <w:pPr>
              <w:adjustRightInd w:val="0"/>
              <w:snapToGrid w:val="0"/>
              <w:spacing w:line="0" w:lineRule="atLeast"/>
              <w:jc w:val="center"/>
              <w:rPr>
                <w:rFonts w:ascii="黑体" w:hAnsi="黑体" w:eastAsia="黑体" w:cs="黑体"/>
                <w:szCs w:val="21"/>
              </w:rPr>
            </w:pPr>
            <w:r>
              <w:rPr>
                <w:rFonts w:hint="eastAsia" w:ascii="黑体" w:hAnsi="黑体" w:eastAsia="黑体" w:cs="黑体"/>
                <w:szCs w:val="21"/>
              </w:rPr>
              <w:t>项目类别</w:t>
            </w:r>
          </w:p>
        </w:tc>
        <w:tc>
          <w:tcPr>
            <w:tcW w:w="3784" w:type="dxa"/>
            <w:tcBorders>
              <w:tl2br w:val="nil"/>
              <w:tr2bl w:val="nil"/>
            </w:tcBorders>
            <w:vAlign w:val="center"/>
          </w:tcPr>
          <w:p>
            <w:pPr>
              <w:adjustRightInd w:val="0"/>
              <w:snapToGrid w:val="0"/>
              <w:spacing w:line="0" w:lineRule="atLeast"/>
              <w:jc w:val="center"/>
              <w:rPr>
                <w:rFonts w:ascii="黑体" w:hAnsi="黑体" w:eastAsia="黑体" w:cs="黑体"/>
                <w:szCs w:val="21"/>
              </w:rPr>
            </w:pPr>
            <w:r>
              <w:rPr>
                <w:rFonts w:hint="eastAsia" w:ascii="黑体" w:hAnsi="黑体" w:eastAsia="黑体" w:cs="黑体"/>
                <w:szCs w:val="21"/>
              </w:rPr>
              <w:t>名称</w:t>
            </w:r>
          </w:p>
        </w:tc>
        <w:tc>
          <w:tcPr>
            <w:tcW w:w="1103" w:type="dxa"/>
            <w:tcBorders>
              <w:tl2br w:val="nil"/>
              <w:tr2bl w:val="nil"/>
            </w:tcBorders>
            <w:vAlign w:val="center"/>
          </w:tcPr>
          <w:p>
            <w:pPr>
              <w:adjustRightInd w:val="0"/>
              <w:snapToGrid w:val="0"/>
              <w:spacing w:line="0" w:lineRule="atLeast"/>
              <w:jc w:val="center"/>
              <w:rPr>
                <w:rFonts w:ascii="黑体" w:hAnsi="黑体" w:eastAsia="黑体" w:cs="黑体"/>
                <w:szCs w:val="21"/>
              </w:rPr>
            </w:pPr>
            <w:r>
              <w:rPr>
                <w:rFonts w:hint="eastAsia" w:ascii="黑体" w:hAnsi="黑体" w:eastAsia="黑体" w:cs="黑体"/>
                <w:szCs w:val="21"/>
              </w:rPr>
              <w:t>负责人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trHeight w:val="445" w:hRule="atLeast"/>
          <w:jc w:val="center"/>
        </w:trPr>
        <w:tc>
          <w:tcPr>
            <w:tcW w:w="759" w:type="dxa"/>
            <w:tcBorders>
              <w:tl2br w:val="nil"/>
              <w:tr2bl w:val="nil"/>
            </w:tcBorders>
            <w:vAlign w:val="center"/>
          </w:tcPr>
          <w:p>
            <w:pPr>
              <w:adjustRightInd w:val="0"/>
              <w:snapToGrid w:val="0"/>
              <w:spacing w:line="0" w:lineRule="atLeast"/>
              <w:jc w:val="center"/>
              <w:rPr>
                <w:rFonts w:ascii="宋体" w:hAnsi="宋体" w:cs="宋体"/>
                <w:szCs w:val="21"/>
              </w:rPr>
            </w:pPr>
            <w:r>
              <w:rPr>
                <w:rFonts w:hint="eastAsia" w:ascii="宋体" w:hAnsi="宋体" w:cs="宋体"/>
                <w:szCs w:val="21"/>
              </w:rPr>
              <w:t>2021</w:t>
            </w:r>
          </w:p>
        </w:tc>
        <w:tc>
          <w:tcPr>
            <w:tcW w:w="3612" w:type="dxa"/>
            <w:tcBorders>
              <w:tl2br w:val="nil"/>
              <w:tr2bl w:val="nil"/>
            </w:tcBorders>
            <w:vAlign w:val="center"/>
          </w:tcPr>
          <w:p>
            <w:pPr>
              <w:adjustRightInd w:val="0"/>
              <w:snapToGrid w:val="0"/>
              <w:spacing w:line="0" w:lineRule="atLeast"/>
              <w:jc w:val="center"/>
              <w:rPr>
                <w:rFonts w:ascii="宋体" w:hAnsi="宋体" w:cs="宋体"/>
                <w:szCs w:val="21"/>
              </w:rPr>
            </w:pPr>
            <w:r>
              <w:rPr>
                <w:rFonts w:hint="eastAsia" w:ascii="宋体" w:hAnsi="宋体" w:cs="宋体"/>
                <w:szCs w:val="21"/>
              </w:rPr>
              <w:t>国家级一流本科专业建设点</w:t>
            </w:r>
          </w:p>
        </w:tc>
        <w:tc>
          <w:tcPr>
            <w:tcW w:w="3784" w:type="dxa"/>
            <w:tcBorders>
              <w:tl2br w:val="nil"/>
              <w:tr2bl w:val="nil"/>
            </w:tcBorders>
            <w:vAlign w:val="center"/>
          </w:tcPr>
          <w:p>
            <w:pPr>
              <w:adjustRightInd w:val="0"/>
              <w:snapToGrid w:val="0"/>
              <w:spacing w:line="0" w:lineRule="atLeast"/>
              <w:jc w:val="center"/>
              <w:rPr>
                <w:rFonts w:ascii="宋体" w:hAnsi="宋体" w:cs="宋体"/>
                <w:szCs w:val="21"/>
              </w:rPr>
            </w:pPr>
            <w:r>
              <w:rPr>
                <w:rFonts w:hint="eastAsia" w:ascii="宋体" w:hAnsi="宋体" w:cs="宋体"/>
                <w:szCs w:val="21"/>
              </w:rPr>
              <w:t>数学与应用数学</w:t>
            </w:r>
          </w:p>
        </w:tc>
        <w:tc>
          <w:tcPr>
            <w:tcW w:w="1103" w:type="dxa"/>
            <w:tcBorders>
              <w:tl2br w:val="nil"/>
              <w:tr2bl w:val="nil"/>
            </w:tcBorders>
            <w:vAlign w:val="center"/>
          </w:tcPr>
          <w:p>
            <w:pPr>
              <w:adjustRightInd w:val="0"/>
              <w:snapToGrid w:val="0"/>
              <w:spacing w:line="0" w:lineRule="atLeast"/>
              <w:jc w:val="center"/>
              <w:rPr>
                <w:rFonts w:ascii="宋体" w:hAnsi="宋体" w:cs="宋体"/>
                <w:szCs w:val="21"/>
              </w:rPr>
            </w:pPr>
            <w:r>
              <w:rPr>
                <w:rFonts w:hint="eastAsia" w:ascii="宋体" w:hAnsi="宋体" w:cs="宋体"/>
                <w:szCs w:val="21"/>
              </w:rPr>
              <w:t>刘太顺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trHeight w:val="445" w:hRule="atLeast"/>
          <w:jc w:val="center"/>
        </w:trPr>
        <w:tc>
          <w:tcPr>
            <w:tcW w:w="759" w:type="dxa"/>
            <w:tcBorders>
              <w:tl2br w:val="nil"/>
              <w:tr2bl w:val="nil"/>
            </w:tcBorders>
            <w:vAlign w:val="center"/>
          </w:tcPr>
          <w:p>
            <w:pPr>
              <w:adjustRightInd w:val="0"/>
              <w:snapToGrid w:val="0"/>
              <w:spacing w:line="0" w:lineRule="atLeast"/>
              <w:jc w:val="center"/>
              <w:rPr>
                <w:rFonts w:ascii="宋体" w:hAnsi="宋体" w:cs="宋体"/>
                <w:szCs w:val="21"/>
              </w:rPr>
            </w:pPr>
            <w:r>
              <w:rPr>
                <w:rFonts w:hint="eastAsia" w:ascii="宋体" w:hAnsi="宋体" w:cs="宋体"/>
                <w:szCs w:val="21"/>
              </w:rPr>
              <w:t>2021</w:t>
            </w:r>
          </w:p>
        </w:tc>
        <w:tc>
          <w:tcPr>
            <w:tcW w:w="3612" w:type="dxa"/>
            <w:tcBorders>
              <w:tl2br w:val="nil"/>
              <w:tr2bl w:val="nil"/>
            </w:tcBorders>
            <w:vAlign w:val="center"/>
          </w:tcPr>
          <w:p>
            <w:pPr>
              <w:adjustRightInd w:val="0"/>
              <w:snapToGrid w:val="0"/>
              <w:spacing w:line="0" w:lineRule="atLeast"/>
              <w:jc w:val="center"/>
              <w:rPr>
                <w:rFonts w:ascii="宋体" w:hAnsi="宋体" w:cs="宋体"/>
                <w:szCs w:val="21"/>
              </w:rPr>
            </w:pPr>
            <w:r>
              <w:rPr>
                <w:rFonts w:hint="eastAsia" w:ascii="宋体" w:hAnsi="宋体" w:cs="宋体"/>
                <w:szCs w:val="21"/>
              </w:rPr>
              <w:t>国家级一流本科专业建设点</w:t>
            </w:r>
          </w:p>
        </w:tc>
        <w:tc>
          <w:tcPr>
            <w:tcW w:w="3784" w:type="dxa"/>
            <w:tcBorders>
              <w:tl2br w:val="nil"/>
              <w:tr2bl w:val="nil"/>
            </w:tcBorders>
            <w:vAlign w:val="center"/>
          </w:tcPr>
          <w:p>
            <w:pPr>
              <w:adjustRightInd w:val="0"/>
              <w:snapToGrid w:val="0"/>
              <w:spacing w:line="0" w:lineRule="atLeast"/>
              <w:jc w:val="center"/>
              <w:rPr>
                <w:rFonts w:ascii="宋体" w:hAnsi="宋体" w:cs="宋体"/>
                <w:szCs w:val="21"/>
              </w:rPr>
            </w:pPr>
            <w:r>
              <w:rPr>
                <w:rFonts w:hint="eastAsia" w:ascii="宋体" w:hAnsi="宋体" w:cs="宋体"/>
                <w:szCs w:val="21"/>
              </w:rPr>
              <w:t>计算机科学与技术</w:t>
            </w:r>
          </w:p>
        </w:tc>
        <w:tc>
          <w:tcPr>
            <w:tcW w:w="1103" w:type="dxa"/>
            <w:tcBorders>
              <w:tl2br w:val="nil"/>
              <w:tr2bl w:val="nil"/>
            </w:tcBorders>
            <w:vAlign w:val="center"/>
          </w:tcPr>
          <w:p>
            <w:pPr>
              <w:adjustRightInd w:val="0"/>
              <w:snapToGrid w:val="0"/>
              <w:spacing w:line="0" w:lineRule="atLeast"/>
              <w:jc w:val="center"/>
              <w:rPr>
                <w:rFonts w:ascii="宋体" w:hAnsi="宋体" w:cs="宋体"/>
                <w:szCs w:val="21"/>
              </w:rPr>
            </w:pPr>
            <w:r>
              <w:rPr>
                <w:rFonts w:hint="eastAsia" w:ascii="宋体" w:hAnsi="宋体" w:cs="宋体"/>
                <w:szCs w:val="21"/>
              </w:rPr>
              <w:t>蒋云良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64" w:hRule="atLeast"/>
          <w:jc w:val="center"/>
        </w:trPr>
        <w:tc>
          <w:tcPr>
            <w:tcW w:w="759" w:type="dxa"/>
            <w:tcBorders>
              <w:tl2br w:val="nil"/>
              <w:tr2bl w:val="nil"/>
            </w:tcBorders>
            <w:vAlign w:val="center"/>
          </w:tcPr>
          <w:p>
            <w:pPr>
              <w:adjustRightInd w:val="0"/>
              <w:snapToGrid w:val="0"/>
              <w:spacing w:line="0" w:lineRule="atLeast"/>
              <w:jc w:val="center"/>
              <w:rPr>
                <w:rFonts w:ascii="宋体" w:hAnsi="宋体" w:cs="宋体"/>
                <w:szCs w:val="21"/>
              </w:rPr>
            </w:pPr>
            <w:r>
              <w:rPr>
                <w:rFonts w:hint="eastAsia" w:ascii="宋体" w:hAnsi="宋体" w:cs="宋体"/>
                <w:szCs w:val="21"/>
              </w:rPr>
              <w:t>2020</w:t>
            </w:r>
          </w:p>
        </w:tc>
        <w:tc>
          <w:tcPr>
            <w:tcW w:w="3612" w:type="dxa"/>
            <w:tcBorders>
              <w:tl2br w:val="nil"/>
              <w:tr2bl w:val="nil"/>
            </w:tcBorders>
            <w:vAlign w:val="center"/>
          </w:tcPr>
          <w:p>
            <w:pPr>
              <w:adjustRightInd w:val="0"/>
              <w:snapToGrid w:val="0"/>
              <w:spacing w:line="0" w:lineRule="atLeast"/>
              <w:jc w:val="center"/>
              <w:rPr>
                <w:rFonts w:ascii="宋体" w:hAnsi="宋体" w:cs="宋体"/>
                <w:szCs w:val="21"/>
              </w:rPr>
            </w:pPr>
            <w:r>
              <w:rPr>
                <w:rFonts w:hint="eastAsia" w:ascii="宋体" w:hAnsi="宋体" w:cs="宋体"/>
                <w:szCs w:val="21"/>
              </w:rPr>
              <w:t>新工科综合改革类协同育人项目</w:t>
            </w:r>
          </w:p>
        </w:tc>
        <w:tc>
          <w:tcPr>
            <w:tcW w:w="3784" w:type="dxa"/>
            <w:tcBorders>
              <w:tl2br w:val="nil"/>
              <w:tr2bl w:val="nil"/>
            </w:tcBorders>
            <w:vAlign w:val="center"/>
          </w:tcPr>
          <w:p>
            <w:pPr>
              <w:adjustRightInd w:val="0"/>
              <w:snapToGrid w:val="0"/>
              <w:spacing w:line="0" w:lineRule="atLeast"/>
              <w:jc w:val="center"/>
              <w:rPr>
                <w:rFonts w:ascii="宋体" w:hAnsi="宋体" w:cs="宋体"/>
                <w:szCs w:val="21"/>
              </w:rPr>
            </w:pPr>
            <w:r>
              <w:rPr>
                <w:rFonts w:hint="eastAsia" w:ascii="宋体" w:hAnsi="宋体" w:cs="宋体"/>
                <w:szCs w:val="21"/>
              </w:rPr>
              <w:t>差异需求、共同追求、多主体协同——地方师范院校新工科人才培养模式探索与实践</w:t>
            </w:r>
          </w:p>
        </w:tc>
        <w:tc>
          <w:tcPr>
            <w:tcW w:w="1103" w:type="dxa"/>
            <w:tcBorders>
              <w:tl2br w:val="nil"/>
              <w:tr2bl w:val="nil"/>
            </w:tcBorders>
            <w:vAlign w:val="center"/>
          </w:tcPr>
          <w:p>
            <w:pPr>
              <w:adjustRightInd w:val="0"/>
              <w:snapToGrid w:val="0"/>
              <w:spacing w:line="0" w:lineRule="atLeast"/>
              <w:jc w:val="center"/>
              <w:rPr>
                <w:rFonts w:ascii="宋体" w:hAnsi="宋体" w:cs="宋体"/>
                <w:szCs w:val="21"/>
              </w:rPr>
            </w:pPr>
            <w:r>
              <w:rPr>
                <w:rFonts w:hint="eastAsia" w:ascii="宋体" w:hAnsi="宋体" w:cs="宋体"/>
                <w:szCs w:val="21"/>
              </w:rPr>
              <w:t>蒋云良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trHeight w:val="564" w:hRule="atLeast"/>
          <w:jc w:val="center"/>
        </w:trPr>
        <w:tc>
          <w:tcPr>
            <w:tcW w:w="759" w:type="dxa"/>
            <w:tcBorders>
              <w:tl2br w:val="nil"/>
              <w:tr2bl w:val="nil"/>
            </w:tcBorders>
            <w:vAlign w:val="center"/>
          </w:tcPr>
          <w:p>
            <w:pPr>
              <w:adjustRightInd w:val="0"/>
              <w:snapToGrid w:val="0"/>
              <w:spacing w:line="0" w:lineRule="atLeast"/>
              <w:jc w:val="center"/>
              <w:rPr>
                <w:rFonts w:ascii="宋体" w:hAnsi="宋体" w:cs="宋体"/>
                <w:szCs w:val="21"/>
              </w:rPr>
            </w:pPr>
            <w:r>
              <w:rPr>
                <w:rFonts w:hint="eastAsia" w:ascii="宋体" w:hAnsi="宋体" w:cs="宋体"/>
                <w:szCs w:val="21"/>
              </w:rPr>
              <w:t>2020</w:t>
            </w:r>
          </w:p>
        </w:tc>
        <w:tc>
          <w:tcPr>
            <w:tcW w:w="3612" w:type="dxa"/>
            <w:tcBorders>
              <w:tl2br w:val="nil"/>
              <w:tr2bl w:val="nil"/>
            </w:tcBorders>
            <w:vAlign w:val="center"/>
          </w:tcPr>
          <w:p>
            <w:pPr>
              <w:adjustRightInd w:val="0"/>
              <w:snapToGrid w:val="0"/>
              <w:spacing w:line="0" w:lineRule="atLeast"/>
              <w:jc w:val="center"/>
              <w:rPr>
                <w:rFonts w:ascii="宋体" w:hAnsi="宋体" w:cs="宋体"/>
                <w:szCs w:val="21"/>
              </w:rPr>
            </w:pPr>
            <w:r>
              <w:rPr>
                <w:rFonts w:hint="eastAsia" w:ascii="宋体" w:hAnsi="宋体" w:cs="宋体"/>
                <w:szCs w:val="21"/>
              </w:rPr>
              <w:t>新农科研究与改革实践项目——新型农林人才培养改革实践类型项目</w:t>
            </w:r>
          </w:p>
        </w:tc>
        <w:tc>
          <w:tcPr>
            <w:tcW w:w="3784" w:type="dxa"/>
            <w:tcBorders>
              <w:tl2br w:val="nil"/>
              <w:tr2bl w:val="nil"/>
            </w:tcBorders>
            <w:vAlign w:val="center"/>
          </w:tcPr>
          <w:p>
            <w:pPr>
              <w:adjustRightInd w:val="0"/>
              <w:snapToGrid w:val="0"/>
              <w:spacing w:line="0" w:lineRule="atLeast"/>
              <w:jc w:val="center"/>
              <w:rPr>
                <w:rFonts w:ascii="宋体" w:hAnsi="宋体" w:cs="宋体"/>
                <w:szCs w:val="21"/>
              </w:rPr>
            </w:pPr>
            <w:r>
              <w:rPr>
                <w:rFonts w:hint="eastAsia" w:ascii="宋体" w:hAnsi="宋体" w:cs="宋体"/>
                <w:szCs w:val="21"/>
              </w:rPr>
              <w:t>新农科背景下“绿色渔业”复合型人才培养模式创新实践</w:t>
            </w:r>
          </w:p>
        </w:tc>
        <w:tc>
          <w:tcPr>
            <w:tcW w:w="1103" w:type="dxa"/>
            <w:tcBorders>
              <w:tl2br w:val="nil"/>
              <w:tr2bl w:val="nil"/>
            </w:tcBorders>
            <w:vAlign w:val="center"/>
          </w:tcPr>
          <w:p>
            <w:pPr>
              <w:adjustRightInd w:val="0"/>
              <w:snapToGrid w:val="0"/>
              <w:spacing w:line="0" w:lineRule="atLeast"/>
              <w:jc w:val="center"/>
              <w:rPr>
                <w:rFonts w:ascii="宋体" w:hAnsi="宋体" w:cs="宋体"/>
                <w:szCs w:val="21"/>
              </w:rPr>
            </w:pPr>
            <w:r>
              <w:rPr>
                <w:rFonts w:hint="eastAsia" w:ascii="宋体" w:hAnsi="宋体" w:cs="宋体"/>
                <w:szCs w:val="21"/>
              </w:rPr>
              <w:t>叶金云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trHeight w:val="461" w:hRule="atLeast"/>
          <w:jc w:val="center"/>
        </w:trPr>
        <w:tc>
          <w:tcPr>
            <w:tcW w:w="759" w:type="dxa"/>
            <w:tcBorders>
              <w:tl2br w:val="nil"/>
              <w:tr2bl w:val="nil"/>
            </w:tcBorders>
            <w:vAlign w:val="center"/>
          </w:tcPr>
          <w:p>
            <w:pPr>
              <w:adjustRightInd w:val="0"/>
              <w:snapToGrid w:val="0"/>
              <w:spacing w:line="0" w:lineRule="atLeast"/>
              <w:jc w:val="center"/>
              <w:rPr>
                <w:rFonts w:ascii="宋体" w:hAnsi="宋体" w:cs="宋体"/>
                <w:szCs w:val="21"/>
              </w:rPr>
            </w:pPr>
            <w:r>
              <w:rPr>
                <w:rFonts w:hint="eastAsia" w:ascii="宋体" w:hAnsi="宋体" w:cs="宋体"/>
                <w:szCs w:val="21"/>
              </w:rPr>
              <w:t>2008</w:t>
            </w:r>
          </w:p>
        </w:tc>
        <w:tc>
          <w:tcPr>
            <w:tcW w:w="3612" w:type="dxa"/>
            <w:tcBorders>
              <w:tl2br w:val="nil"/>
              <w:tr2bl w:val="nil"/>
            </w:tcBorders>
            <w:vAlign w:val="center"/>
          </w:tcPr>
          <w:p>
            <w:pPr>
              <w:adjustRightInd w:val="0"/>
              <w:snapToGrid w:val="0"/>
              <w:spacing w:line="0" w:lineRule="atLeast"/>
              <w:jc w:val="center"/>
              <w:rPr>
                <w:rFonts w:ascii="宋体" w:hAnsi="宋体" w:cs="宋体"/>
                <w:szCs w:val="21"/>
              </w:rPr>
            </w:pPr>
            <w:r>
              <w:rPr>
                <w:rFonts w:hint="eastAsia" w:ascii="宋体" w:hAnsi="宋体" w:cs="宋体"/>
                <w:szCs w:val="21"/>
              </w:rPr>
              <w:t>国家级特色专业</w:t>
            </w:r>
          </w:p>
        </w:tc>
        <w:tc>
          <w:tcPr>
            <w:tcW w:w="3784" w:type="dxa"/>
            <w:tcBorders>
              <w:tl2br w:val="nil"/>
              <w:tr2bl w:val="nil"/>
            </w:tcBorders>
            <w:vAlign w:val="center"/>
          </w:tcPr>
          <w:p>
            <w:pPr>
              <w:adjustRightInd w:val="0"/>
              <w:snapToGrid w:val="0"/>
              <w:spacing w:line="0" w:lineRule="atLeast"/>
              <w:jc w:val="center"/>
              <w:rPr>
                <w:rFonts w:ascii="宋体" w:hAnsi="宋体" w:cs="宋体"/>
                <w:szCs w:val="21"/>
              </w:rPr>
            </w:pPr>
            <w:r>
              <w:rPr>
                <w:rFonts w:hint="eastAsia" w:ascii="宋体" w:hAnsi="宋体" w:cs="宋体"/>
                <w:szCs w:val="21"/>
              </w:rPr>
              <w:t>数学与应用数学</w:t>
            </w:r>
          </w:p>
        </w:tc>
        <w:tc>
          <w:tcPr>
            <w:tcW w:w="1103" w:type="dxa"/>
            <w:tcBorders>
              <w:tl2br w:val="nil"/>
              <w:tr2bl w:val="nil"/>
            </w:tcBorders>
            <w:vAlign w:val="center"/>
          </w:tcPr>
          <w:p>
            <w:pPr>
              <w:adjustRightInd w:val="0"/>
              <w:snapToGrid w:val="0"/>
              <w:spacing w:line="0" w:lineRule="atLeast"/>
              <w:jc w:val="center"/>
              <w:rPr>
                <w:rFonts w:ascii="宋体" w:hAnsi="宋体" w:cs="宋体"/>
                <w:szCs w:val="21"/>
              </w:rPr>
            </w:pPr>
            <w:r>
              <w:rPr>
                <w:rFonts w:hint="eastAsia" w:ascii="宋体" w:hAnsi="宋体" w:cs="宋体"/>
                <w:szCs w:val="21"/>
              </w:rPr>
              <w:t>刘太顺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trHeight w:val="461" w:hRule="atLeast"/>
          <w:jc w:val="center"/>
        </w:trPr>
        <w:tc>
          <w:tcPr>
            <w:tcW w:w="759" w:type="dxa"/>
            <w:tcBorders>
              <w:tl2br w:val="nil"/>
              <w:tr2bl w:val="nil"/>
            </w:tcBorders>
            <w:vAlign w:val="center"/>
          </w:tcPr>
          <w:p>
            <w:pPr>
              <w:adjustRightInd w:val="0"/>
              <w:snapToGrid w:val="0"/>
              <w:spacing w:line="0" w:lineRule="atLeast"/>
              <w:jc w:val="center"/>
              <w:rPr>
                <w:rFonts w:ascii="宋体" w:hAnsi="宋体" w:cs="宋体"/>
                <w:szCs w:val="21"/>
              </w:rPr>
            </w:pPr>
            <w:r>
              <w:rPr>
                <w:rFonts w:hint="eastAsia" w:ascii="宋体" w:hAnsi="宋体" w:cs="宋体"/>
                <w:szCs w:val="21"/>
              </w:rPr>
              <w:t>2009</w:t>
            </w:r>
          </w:p>
        </w:tc>
        <w:tc>
          <w:tcPr>
            <w:tcW w:w="3612" w:type="dxa"/>
            <w:tcBorders>
              <w:tl2br w:val="nil"/>
              <w:tr2bl w:val="nil"/>
            </w:tcBorders>
            <w:vAlign w:val="center"/>
          </w:tcPr>
          <w:p>
            <w:pPr>
              <w:adjustRightInd w:val="0"/>
              <w:snapToGrid w:val="0"/>
              <w:spacing w:line="0" w:lineRule="atLeast"/>
              <w:jc w:val="center"/>
              <w:rPr>
                <w:rFonts w:ascii="宋体" w:hAnsi="宋体" w:cs="宋体"/>
                <w:szCs w:val="21"/>
              </w:rPr>
            </w:pPr>
            <w:r>
              <w:rPr>
                <w:rFonts w:hint="eastAsia" w:ascii="宋体" w:hAnsi="宋体" w:cs="宋体"/>
                <w:szCs w:val="21"/>
              </w:rPr>
              <w:t>国家级特色专业</w:t>
            </w:r>
          </w:p>
        </w:tc>
        <w:tc>
          <w:tcPr>
            <w:tcW w:w="3784" w:type="dxa"/>
            <w:tcBorders>
              <w:tl2br w:val="nil"/>
              <w:tr2bl w:val="nil"/>
            </w:tcBorders>
            <w:vAlign w:val="center"/>
          </w:tcPr>
          <w:p>
            <w:pPr>
              <w:adjustRightInd w:val="0"/>
              <w:snapToGrid w:val="0"/>
              <w:spacing w:line="0" w:lineRule="atLeast"/>
              <w:jc w:val="center"/>
              <w:rPr>
                <w:rFonts w:ascii="宋体" w:hAnsi="宋体" w:cs="宋体"/>
                <w:szCs w:val="21"/>
              </w:rPr>
            </w:pPr>
            <w:r>
              <w:rPr>
                <w:rFonts w:hint="eastAsia" w:ascii="宋体" w:hAnsi="宋体" w:cs="宋体"/>
                <w:szCs w:val="21"/>
              </w:rPr>
              <w:t>小学教育</w:t>
            </w:r>
          </w:p>
        </w:tc>
        <w:tc>
          <w:tcPr>
            <w:tcW w:w="1103" w:type="dxa"/>
            <w:tcBorders>
              <w:tl2br w:val="nil"/>
              <w:tr2bl w:val="nil"/>
            </w:tcBorders>
            <w:vAlign w:val="center"/>
          </w:tcPr>
          <w:p>
            <w:pPr>
              <w:adjustRightInd w:val="0"/>
              <w:snapToGrid w:val="0"/>
              <w:spacing w:line="0" w:lineRule="atLeast"/>
              <w:jc w:val="center"/>
              <w:rPr>
                <w:rFonts w:ascii="宋体" w:hAnsi="宋体" w:cs="宋体"/>
                <w:szCs w:val="21"/>
              </w:rPr>
            </w:pPr>
            <w:r>
              <w:rPr>
                <w:rFonts w:hint="eastAsia" w:ascii="宋体" w:hAnsi="宋体" w:cs="宋体"/>
                <w:szCs w:val="21"/>
              </w:rPr>
              <w:t>胡璋剑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trHeight w:val="461" w:hRule="atLeast"/>
          <w:jc w:val="center"/>
        </w:trPr>
        <w:tc>
          <w:tcPr>
            <w:tcW w:w="759" w:type="dxa"/>
            <w:tcBorders>
              <w:tl2br w:val="nil"/>
              <w:tr2bl w:val="nil"/>
            </w:tcBorders>
            <w:vAlign w:val="center"/>
          </w:tcPr>
          <w:p>
            <w:pPr>
              <w:adjustRightInd w:val="0"/>
              <w:snapToGrid w:val="0"/>
              <w:spacing w:line="0" w:lineRule="atLeast"/>
              <w:jc w:val="center"/>
              <w:rPr>
                <w:rFonts w:ascii="宋体" w:hAnsi="宋体" w:cs="宋体"/>
                <w:szCs w:val="21"/>
              </w:rPr>
            </w:pPr>
            <w:r>
              <w:rPr>
                <w:rFonts w:hint="eastAsia" w:ascii="宋体" w:hAnsi="宋体" w:cs="宋体"/>
                <w:szCs w:val="21"/>
              </w:rPr>
              <w:t>2013</w:t>
            </w:r>
          </w:p>
        </w:tc>
        <w:tc>
          <w:tcPr>
            <w:tcW w:w="3612" w:type="dxa"/>
            <w:tcBorders>
              <w:tl2br w:val="nil"/>
              <w:tr2bl w:val="nil"/>
            </w:tcBorders>
            <w:vAlign w:val="center"/>
          </w:tcPr>
          <w:p>
            <w:pPr>
              <w:adjustRightInd w:val="0"/>
              <w:snapToGrid w:val="0"/>
              <w:spacing w:line="0" w:lineRule="atLeast"/>
              <w:jc w:val="center"/>
              <w:rPr>
                <w:rFonts w:ascii="宋体" w:hAnsi="宋体" w:cs="宋体"/>
                <w:szCs w:val="21"/>
              </w:rPr>
            </w:pPr>
            <w:r>
              <w:rPr>
                <w:rFonts w:hint="eastAsia" w:ascii="宋体" w:hAnsi="宋体" w:cs="宋体"/>
                <w:szCs w:val="21"/>
              </w:rPr>
              <w:t>教育部本科专业综合改革试点</w:t>
            </w:r>
          </w:p>
        </w:tc>
        <w:tc>
          <w:tcPr>
            <w:tcW w:w="3784" w:type="dxa"/>
            <w:tcBorders>
              <w:tl2br w:val="nil"/>
              <w:tr2bl w:val="nil"/>
            </w:tcBorders>
            <w:vAlign w:val="center"/>
          </w:tcPr>
          <w:p>
            <w:pPr>
              <w:adjustRightInd w:val="0"/>
              <w:snapToGrid w:val="0"/>
              <w:spacing w:line="0" w:lineRule="atLeast"/>
              <w:jc w:val="center"/>
              <w:rPr>
                <w:rFonts w:ascii="宋体" w:hAnsi="宋体" w:cs="宋体"/>
                <w:szCs w:val="21"/>
              </w:rPr>
            </w:pPr>
            <w:r>
              <w:rPr>
                <w:rFonts w:hint="eastAsia" w:ascii="宋体" w:hAnsi="宋体" w:cs="宋体"/>
                <w:szCs w:val="21"/>
              </w:rPr>
              <w:t>数学与应用数学</w:t>
            </w:r>
          </w:p>
        </w:tc>
        <w:tc>
          <w:tcPr>
            <w:tcW w:w="1103" w:type="dxa"/>
            <w:tcBorders>
              <w:tl2br w:val="nil"/>
              <w:tr2bl w:val="nil"/>
            </w:tcBorders>
            <w:vAlign w:val="center"/>
          </w:tcPr>
          <w:p>
            <w:pPr>
              <w:adjustRightInd w:val="0"/>
              <w:snapToGrid w:val="0"/>
              <w:spacing w:line="0" w:lineRule="atLeast"/>
              <w:jc w:val="center"/>
              <w:rPr>
                <w:rFonts w:ascii="宋体" w:hAnsi="宋体" w:cs="宋体"/>
                <w:szCs w:val="21"/>
              </w:rPr>
            </w:pPr>
            <w:r>
              <w:rPr>
                <w:rFonts w:hint="eastAsia" w:ascii="宋体" w:hAnsi="宋体" w:cs="宋体"/>
                <w:szCs w:val="21"/>
              </w:rPr>
              <w:t>刘太顺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trHeight w:val="564" w:hRule="atLeast"/>
          <w:jc w:val="center"/>
        </w:trPr>
        <w:tc>
          <w:tcPr>
            <w:tcW w:w="759" w:type="dxa"/>
            <w:tcBorders>
              <w:tl2br w:val="nil"/>
              <w:tr2bl w:val="nil"/>
            </w:tcBorders>
            <w:vAlign w:val="center"/>
          </w:tcPr>
          <w:p>
            <w:pPr>
              <w:adjustRightInd w:val="0"/>
              <w:snapToGrid w:val="0"/>
              <w:spacing w:line="0" w:lineRule="atLeast"/>
              <w:jc w:val="center"/>
              <w:rPr>
                <w:rFonts w:ascii="宋体" w:hAnsi="宋体" w:cs="宋体"/>
                <w:szCs w:val="21"/>
              </w:rPr>
            </w:pPr>
            <w:r>
              <w:rPr>
                <w:rFonts w:hint="eastAsia" w:ascii="宋体" w:hAnsi="宋体" w:cs="宋体"/>
                <w:szCs w:val="21"/>
              </w:rPr>
              <w:t>2012</w:t>
            </w:r>
          </w:p>
        </w:tc>
        <w:tc>
          <w:tcPr>
            <w:tcW w:w="3612" w:type="dxa"/>
            <w:tcBorders>
              <w:tl2br w:val="nil"/>
              <w:tr2bl w:val="nil"/>
            </w:tcBorders>
            <w:vAlign w:val="center"/>
          </w:tcPr>
          <w:p>
            <w:pPr>
              <w:adjustRightInd w:val="0"/>
              <w:snapToGrid w:val="0"/>
              <w:spacing w:line="0" w:lineRule="atLeast"/>
              <w:jc w:val="center"/>
              <w:rPr>
                <w:rFonts w:ascii="宋体" w:hAnsi="宋体" w:cs="宋体"/>
                <w:szCs w:val="21"/>
              </w:rPr>
            </w:pPr>
            <w:r>
              <w:rPr>
                <w:rFonts w:hint="eastAsia" w:ascii="宋体" w:hAnsi="宋体" w:cs="宋体"/>
                <w:szCs w:val="21"/>
              </w:rPr>
              <w:t>卓越医生教育培养计划项目</w:t>
            </w:r>
          </w:p>
        </w:tc>
        <w:tc>
          <w:tcPr>
            <w:tcW w:w="3784" w:type="dxa"/>
            <w:tcBorders>
              <w:tl2br w:val="nil"/>
              <w:tr2bl w:val="nil"/>
            </w:tcBorders>
            <w:vAlign w:val="center"/>
          </w:tcPr>
          <w:p>
            <w:pPr>
              <w:adjustRightInd w:val="0"/>
              <w:snapToGrid w:val="0"/>
              <w:spacing w:line="0" w:lineRule="atLeast"/>
              <w:jc w:val="center"/>
              <w:rPr>
                <w:rFonts w:ascii="宋体" w:hAnsi="宋体" w:cs="宋体"/>
                <w:szCs w:val="21"/>
              </w:rPr>
            </w:pPr>
            <w:r>
              <w:rPr>
                <w:rFonts w:hint="eastAsia" w:ascii="宋体" w:hAnsi="宋体" w:cs="宋体"/>
                <w:szCs w:val="21"/>
              </w:rPr>
              <w:t>农村订单定向免费医学教育人才培养模式改革试点</w:t>
            </w:r>
          </w:p>
        </w:tc>
        <w:tc>
          <w:tcPr>
            <w:tcW w:w="1103" w:type="dxa"/>
            <w:tcBorders>
              <w:tl2br w:val="nil"/>
              <w:tr2bl w:val="nil"/>
            </w:tcBorders>
            <w:vAlign w:val="center"/>
          </w:tcPr>
          <w:p>
            <w:pPr>
              <w:adjustRightInd w:val="0"/>
              <w:snapToGrid w:val="0"/>
              <w:spacing w:line="0" w:lineRule="atLeast"/>
              <w:jc w:val="center"/>
              <w:rPr>
                <w:rFonts w:ascii="宋体" w:hAnsi="宋体" w:cs="宋体"/>
                <w:szCs w:val="21"/>
              </w:rPr>
            </w:pPr>
            <w:r>
              <w:rPr>
                <w:rFonts w:hint="eastAsia" w:ascii="宋体" w:hAnsi="宋体" w:cs="宋体"/>
                <w:szCs w:val="21"/>
              </w:rPr>
              <w:t>沈志坤</w:t>
            </w:r>
          </w:p>
          <w:p>
            <w:pPr>
              <w:adjustRightInd w:val="0"/>
              <w:snapToGrid w:val="0"/>
              <w:spacing w:line="0" w:lineRule="atLeast"/>
              <w:jc w:val="center"/>
              <w:rPr>
                <w:rFonts w:ascii="宋体" w:hAnsi="宋体" w:cs="宋体"/>
                <w:szCs w:val="21"/>
              </w:rPr>
            </w:pPr>
            <w:r>
              <w:rPr>
                <w:rFonts w:hint="eastAsia" w:ascii="宋体" w:hAnsi="宋体" w:cs="宋体"/>
                <w:szCs w:val="21"/>
              </w:rPr>
              <w:t>（蒋培余）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trHeight w:val="564" w:hRule="atLeast"/>
          <w:jc w:val="center"/>
        </w:trPr>
        <w:tc>
          <w:tcPr>
            <w:tcW w:w="759" w:type="dxa"/>
            <w:tcBorders>
              <w:tl2br w:val="nil"/>
              <w:tr2bl w:val="nil"/>
            </w:tcBorders>
            <w:vAlign w:val="center"/>
          </w:tcPr>
          <w:p>
            <w:pPr>
              <w:adjustRightInd w:val="0"/>
              <w:snapToGrid w:val="0"/>
              <w:spacing w:line="0" w:lineRule="atLeast"/>
              <w:jc w:val="center"/>
              <w:rPr>
                <w:rFonts w:ascii="宋体" w:hAnsi="宋体" w:cs="宋体"/>
                <w:szCs w:val="21"/>
              </w:rPr>
            </w:pPr>
            <w:r>
              <w:rPr>
                <w:rFonts w:hint="eastAsia" w:ascii="宋体" w:hAnsi="宋体" w:cs="宋体"/>
                <w:szCs w:val="21"/>
              </w:rPr>
              <w:t>2014</w:t>
            </w:r>
          </w:p>
        </w:tc>
        <w:tc>
          <w:tcPr>
            <w:tcW w:w="3612" w:type="dxa"/>
            <w:tcBorders>
              <w:tl2br w:val="nil"/>
              <w:tr2bl w:val="nil"/>
            </w:tcBorders>
            <w:vAlign w:val="center"/>
          </w:tcPr>
          <w:p>
            <w:pPr>
              <w:adjustRightInd w:val="0"/>
              <w:snapToGrid w:val="0"/>
              <w:spacing w:line="0" w:lineRule="atLeast"/>
              <w:jc w:val="center"/>
              <w:rPr>
                <w:rFonts w:ascii="宋体" w:hAnsi="宋体" w:cs="宋体"/>
                <w:szCs w:val="21"/>
              </w:rPr>
            </w:pPr>
            <w:r>
              <w:rPr>
                <w:rFonts w:hint="eastAsia" w:ascii="宋体" w:hAnsi="宋体" w:cs="宋体"/>
                <w:spacing w:val="-6"/>
                <w:szCs w:val="21"/>
              </w:rPr>
              <w:t>卓越农林人才教育培养计划改革试点项目</w:t>
            </w:r>
          </w:p>
        </w:tc>
        <w:tc>
          <w:tcPr>
            <w:tcW w:w="3784" w:type="dxa"/>
            <w:tcBorders>
              <w:tl2br w:val="nil"/>
              <w:tr2bl w:val="nil"/>
            </w:tcBorders>
            <w:vAlign w:val="center"/>
          </w:tcPr>
          <w:p>
            <w:pPr>
              <w:adjustRightInd w:val="0"/>
              <w:snapToGrid w:val="0"/>
              <w:spacing w:line="0" w:lineRule="atLeast"/>
              <w:jc w:val="center"/>
              <w:rPr>
                <w:rFonts w:ascii="宋体" w:hAnsi="宋体" w:cs="宋体"/>
                <w:szCs w:val="21"/>
              </w:rPr>
            </w:pPr>
            <w:r>
              <w:rPr>
                <w:rFonts w:hint="eastAsia" w:ascii="宋体" w:hAnsi="宋体" w:cs="宋体"/>
                <w:szCs w:val="21"/>
              </w:rPr>
              <w:t>实用技能型淡水养殖人才培养模式改革试点项目</w:t>
            </w:r>
          </w:p>
        </w:tc>
        <w:tc>
          <w:tcPr>
            <w:tcW w:w="1103" w:type="dxa"/>
            <w:tcBorders>
              <w:tl2br w:val="nil"/>
              <w:tr2bl w:val="nil"/>
            </w:tcBorders>
            <w:vAlign w:val="center"/>
          </w:tcPr>
          <w:p>
            <w:pPr>
              <w:adjustRightInd w:val="0"/>
              <w:snapToGrid w:val="0"/>
              <w:spacing w:line="0" w:lineRule="atLeast"/>
              <w:jc w:val="center"/>
              <w:rPr>
                <w:rFonts w:ascii="宋体" w:hAnsi="宋体" w:cs="宋体"/>
                <w:szCs w:val="21"/>
              </w:rPr>
            </w:pPr>
            <w:r>
              <w:rPr>
                <w:rFonts w:hint="eastAsia" w:ascii="宋体" w:hAnsi="宋体" w:cs="宋体"/>
                <w:szCs w:val="21"/>
              </w:rPr>
              <w:t>叶金云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trHeight w:val="510" w:hRule="atLeast"/>
          <w:jc w:val="center"/>
        </w:trPr>
        <w:tc>
          <w:tcPr>
            <w:tcW w:w="759" w:type="dxa"/>
            <w:tcBorders>
              <w:tl2br w:val="nil"/>
              <w:tr2bl w:val="nil"/>
            </w:tcBorders>
            <w:vAlign w:val="center"/>
          </w:tcPr>
          <w:p>
            <w:pPr>
              <w:adjustRightInd w:val="0"/>
              <w:snapToGrid w:val="0"/>
              <w:spacing w:line="0" w:lineRule="atLeast"/>
              <w:jc w:val="center"/>
              <w:rPr>
                <w:rFonts w:ascii="宋体" w:hAnsi="宋体" w:cs="宋体"/>
                <w:szCs w:val="21"/>
              </w:rPr>
            </w:pPr>
            <w:r>
              <w:rPr>
                <w:rFonts w:hint="eastAsia" w:ascii="宋体" w:hAnsi="宋体" w:cs="宋体"/>
                <w:szCs w:val="21"/>
              </w:rPr>
              <w:t>2008</w:t>
            </w:r>
          </w:p>
        </w:tc>
        <w:tc>
          <w:tcPr>
            <w:tcW w:w="3612" w:type="dxa"/>
            <w:tcBorders>
              <w:tl2br w:val="nil"/>
              <w:tr2bl w:val="nil"/>
            </w:tcBorders>
            <w:vAlign w:val="center"/>
          </w:tcPr>
          <w:p>
            <w:pPr>
              <w:adjustRightInd w:val="0"/>
              <w:snapToGrid w:val="0"/>
              <w:spacing w:line="0" w:lineRule="atLeast"/>
              <w:jc w:val="center"/>
              <w:rPr>
                <w:rFonts w:ascii="宋体" w:hAnsi="宋体" w:cs="宋体"/>
                <w:szCs w:val="21"/>
              </w:rPr>
            </w:pPr>
            <w:r>
              <w:rPr>
                <w:rFonts w:hint="eastAsia" w:ascii="宋体" w:hAnsi="宋体" w:cs="宋体"/>
                <w:szCs w:val="21"/>
              </w:rPr>
              <w:t>国家精品课</w:t>
            </w:r>
          </w:p>
        </w:tc>
        <w:tc>
          <w:tcPr>
            <w:tcW w:w="3784" w:type="dxa"/>
            <w:tcBorders>
              <w:tl2br w:val="nil"/>
              <w:tr2bl w:val="nil"/>
            </w:tcBorders>
            <w:vAlign w:val="center"/>
          </w:tcPr>
          <w:p>
            <w:pPr>
              <w:adjustRightInd w:val="0"/>
              <w:snapToGrid w:val="0"/>
              <w:spacing w:line="0" w:lineRule="atLeast"/>
              <w:jc w:val="center"/>
              <w:rPr>
                <w:rFonts w:ascii="宋体" w:hAnsi="宋体" w:cs="宋体"/>
                <w:szCs w:val="21"/>
              </w:rPr>
            </w:pPr>
            <w:r>
              <w:rPr>
                <w:rFonts w:hint="eastAsia" w:ascii="宋体" w:hAnsi="宋体" w:cs="宋体"/>
                <w:szCs w:val="21"/>
              </w:rPr>
              <w:t>复变函数</w:t>
            </w:r>
          </w:p>
        </w:tc>
        <w:tc>
          <w:tcPr>
            <w:tcW w:w="1103" w:type="dxa"/>
            <w:tcBorders>
              <w:tl2br w:val="nil"/>
              <w:tr2bl w:val="nil"/>
            </w:tcBorders>
            <w:vAlign w:val="center"/>
          </w:tcPr>
          <w:p>
            <w:pPr>
              <w:adjustRightInd w:val="0"/>
              <w:snapToGrid w:val="0"/>
              <w:spacing w:line="0" w:lineRule="atLeast"/>
              <w:jc w:val="center"/>
              <w:rPr>
                <w:rFonts w:ascii="宋体" w:hAnsi="宋体" w:cs="宋体"/>
                <w:szCs w:val="21"/>
              </w:rPr>
            </w:pPr>
            <w:r>
              <w:rPr>
                <w:rFonts w:hint="eastAsia" w:ascii="宋体" w:hAnsi="宋体" w:cs="宋体"/>
                <w:szCs w:val="21"/>
              </w:rPr>
              <w:t>刘太顺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trHeight w:val="510" w:hRule="atLeast"/>
          <w:jc w:val="center"/>
        </w:trPr>
        <w:tc>
          <w:tcPr>
            <w:tcW w:w="759" w:type="dxa"/>
            <w:tcBorders>
              <w:tl2br w:val="nil"/>
              <w:tr2bl w:val="nil"/>
            </w:tcBorders>
            <w:vAlign w:val="center"/>
          </w:tcPr>
          <w:p>
            <w:pPr>
              <w:adjustRightInd w:val="0"/>
              <w:snapToGrid w:val="0"/>
              <w:spacing w:line="0" w:lineRule="atLeast"/>
              <w:jc w:val="center"/>
              <w:rPr>
                <w:rFonts w:ascii="宋体" w:hAnsi="宋体" w:cs="宋体"/>
                <w:szCs w:val="21"/>
              </w:rPr>
            </w:pPr>
            <w:r>
              <w:rPr>
                <w:rFonts w:hint="eastAsia" w:ascii="宋体" w:hAnsi="宋体" w:cs="宋体"/>
                <w:szCs w:val="21"/>
              </w:rPr>
              <w:t>2010</w:t>
            </w:r>
          </w:p>
        </w:tc>
        <w:tc>
          <w:tcPr>
            <w:tcW w:w="3612" w:type="dxa"/>
            <w:tcBorders>
              <w:tl2br w:val="nil"/>
              <w:tr2bl w:val="nil"/>
            </w:tcBorders>
            <w:vAlign w:val="center"/>
          </w:tcPr>
          <w:p>
            <w:pPr>
              <w:adjustRightInd w:val="0"/>
              <w:snapToGrid w:val="0"/>
              <w:spacing w:line="0" w:lineRule="atLeast"/>
              <w:jc w:val="center"/>
              <w:rPr>
                <w:rFonts w:ascii="宋体" w:hAnsi="宋体" w:cs="宋体"/>
                <w:szCs w:val="21"/>
              </w:rPr>
            </w:pPr>
            <w:r>
              <w:rPr>
                <w:rFonts w:hint="eastAsia" w:ascii="宋体" w:hAnsi="宋体" w:cs="宋体"/>
                <w:szCs w:val="21"/>
              </w:rPr>
              <w:t>国家精品课</w:t>
            </w:r>
          </w:p>
        </w:tc>
        <w:tc>
          <w:tcPr>
            <w:tcW w:w="3784" w:type="dxa"/>
            <w:tcBorders>
              <w:tl2br w:val="nil"/>
              <w:tr2bl w:val="nil"/>
            </w:tcBorders>
            <w:vAlign w:val="center"/>
          </w:tcPr>
          <w:p>
            <w:pPr>
              <w:adjustRightInd w:val="0"/>
              <w:snapToGrid w:val="0"/>
              <w:spacing w:line="0" w:lineRule="atLeast"/>
              <w:jc w:val="center"/>
              <w:rPr>
                <w:rFonts w:ascii="宋体" w:hAnsi="宋体" w:cs="宋体"/>
                <w:szCs w:val="21"/>
              </w:rPr>
            </w:pPr>
            <w:r>
              <w:rPr>
                <w:rFonts w:hint="eastAsia" w:ascii="宋体" w:hAnsi="宋体" w:cs="宋体"/>
                <w:szCs w:val="21"/>
              </w:rPr>
              <w:t>马克思主义基本原理概论</w:t>
            </w:r>
          </w:p>
        </w:tc>
        <w:tc>
          <w:tcPr>
            <w:tcW w:w="1103" w:type="dxa"/>
            <w:tcBorders>
              <w:tl2br w:val="nil"/>
              <w:tr2bl w:val="nil"/>
            </w:tcBorders>
            <w:vAlign w:val="center"/>
          </w:tcPr>
          <w:p>
            <w:pPr>
              <w:adjustRightInd w:val="0"/>
              <w:snapToGrid w:val="0"/>
              <w:spacing w:line="0" w:lineRule="atLeast"/>
              <w:jc w:val="center"/>
              <w:rPr>
                <w:rFonts w:ascii="宋体" w:hAnsi="宋体" w:cs="宋体"/>
                <w:szCs w:val="21"/>
              </w:rPr>
            </w:pPr>
            <w:r>
              <w:rPr>
                <w:rFonts w:hint="eastAsia" w:ascii="宋体" w:hAnsi="宋体" w:cs="宋体"/>
                <w:szCs w:val="21"/>
              </w:rPr>
              <w:t>熊晓红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trHeight w:val="510" w:hRule="atLeast"/>
          <w:jc w:val="center"/>
        </w:trPr>
        <w:tc>
          <w:tcPr>
            <w:tcW w:w="759" w:type="dxa"/>
            <w:tcBorders>
              <w:tl2br w:val="nil"/>
              <w:tr2bl w:val="nil"/>
            </w:tcBorders>
            <w:vAlign w:val="center"/>
          </w:tcPr>
          <w:p>
            <w:pPr>
              <w:adjustRightInd w:val="0"/>
              <w:snapToGrid w:val="0"/>
              <w:spacing w:line="0" w:lineRule="atLeast"/>
              <w:jc w:val="center"/>
              <w:rPr>
                <w:rFonts w:ascii="宋体" w:hAnsi="宋体" w:cs="宋体"/>
                <w:szCs w:val="21"/>
              </w:rPr>
            </w:pPr>
            <w:r>
              <w:rPr>
                <w:rFonts w:hint="eastAsia" w:ascii="宋体" w:hAnsi="宋体" w:cs="宋体"/>
                <w:szCs w:val="21"/>
              </w:rPr>
              <w:t>2016</w:t>
            </w:r>
          </w:p>
        </w:tc>
        <w:tc>
          <w:tcPr>
            <w:tcW w:w="3612" w:type="dxa"/>
            <w:tcBorders>
              <w:tl2br w:val="nil"/>
              <w:tr2bl w:val="nil"/>
            </w:tcBorders>
            <w:vAlign w:val="center"/>
          </w:tcPr>
          <w:p>
            <w:pPr>
              <w:adjustRightInd w:val="0"/>
              <w:snapToGrid w:val="0"/>
              <w:spacing w:line="0" w:lineRule="atLeast"/>
              <w:jc w:val="center"/>
              <w:rPr>
                <w:rFonts w:ascii="宋体" w:hAnsi="宋体" w:cs="宋体"/>
                <w:szCs w:val="21"/>
              </w:rPr>
            </w:pPr>
            <w:r>
              <w:rPr>
                <w:rFonts w:hint="eastAsia" w:ascii="宋体" w:hAnsi="宋体" w:cs="宋体"/>
                <w:szCs w:val="21"/>
              </w:rPr>
              <w:t>国家精品资源共享课</w:t>
            </w:r>
          </w:p>
        </w:tc>
        <w:tc>
          <w:tcPr>
            <w:tcW w:w="3784" w:type="dxa"/>
            <w:tcBorders>
              <w:tl2br w:val="nil"/>
              <w:tr2bl w:val="nil"/>
            </w:tcBorders>
            <w:vAlign w:val="center"/>
          </w:tcPr>
          <w:p>
            <w:pPr>
              <w:adjustRightInd w:val="0"/>
              <w:snapToGrid w:val="0"/>
              <w:spacing w:line="0" w:lineRule="atLeast"/>
              <w:jc w:val="center"/>
              <w:rPr>
                <w:rFonts w:ascii="宋体" w:hAnsi="宋体" w:cs="宋体"/>
                <w:szCs w:val="21"/>
              </w:rPr>
            </w:pPr>
            <w:r>
              <w:rPr>
                <w:rFonts w:hint="eastAsia" w:ascii="宋体" w:hAnsi="宋体" w:cs="宋体"/>
                <w:szCs w:val="21"/>
              </w:rPr>
              <w:t>复变函数</w:t>
            </w:r>
          </w:p>
        </w:tc>
        <w:tc>
          <w:tcPr>
            <w:tcW w:w="1103" w:type="dxa"/>
            <w:tcBorders>
              <w:tl2br w:val="nil"/>
              <w:tr2bl w:val="nil"/>
            </w:tcBorders>
            <w:vAlign w:val="center"/>
          </w:tcPr>
          <w:p>
            <w:pPr>
              <w:adjustRightInd w:val="0"/>
              <w:snapToGrid w:val="0"/>
              <w:spacing w:line="0" w:lineRule="atLeast"/>
              <w:jc w:val="center"/>
              <w:rPr>
                <w:rFonts w:ascii="宋体" w:hAnsi="宋体" w:cs="宋体"/>
                <w:szCs w:val="21"/>
              </w:rPr>
            </w:pPr>
            <w:r>
              <w:rPr>
                <w:rFonts w:hint="eastAsia" w:ascii="宋体" w:hAnsi="宋体" w:cs="宋体"/>
                <w:szCs w:val="21"/>
              </w:rPr>
              <w:t>刘太顺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trHeight w:val="510" w:hRule="atLeast"/>
          <w:jc w:val="center"/>
        </w:trPr>
        <w:tc>
          <w:tcPr>
            <w:tcW w:w="759" w:type="dxa"/>
            <w:tcBorders>
              <w:tl2br w:val="nil"/>
              <w:tr2bl w:val="nil"/>
            </w:tcBorders>
            <w:vAlign w:val="center"/>
          </w:tcPr>
          <w:p>
            <w:pPr>
              <w:adjustRightInd w:val="0"/>
              <w:snapToGrid w:val="0"/>
              <w:spacing w:line="0" w:lineRule="atLeast"/>
              <w:jc w:val="center"/>
              <w:rPr>
                <w:rFonts w:ascii="宋体" w:hAnsi="宋体" w:cs="宋体"/>
                <w:szCs w:val="21"/>
              </w:rPr>
            </w:pPr>
            <w:r>
              <w:rPr>
                <w:rFonts w:hint="eastAsia" w:ascii="宋体" w:hAnsi="宋体" w:cs="宋体"/>
                <w:szCs w:val="21"/>
              </w:rPr>
              <w:t>2016</w:t>
            </w:r>
          </w:p>
        </w:tc>
        <w:tc>
          <w:tcPr>
            <w:tcW w:w="3612" w:type="dxa"/>
            <w:tcBorders>
              <w:tl2br w:val="nil"/>
              <w:tr2bl w:val="nil"/>
            </w:tcBorders>
            <w:vAlign w:val="center"/>
          </w:tcPr>
          <w:p>
            <w:pPr>
              <w:adjustRightInd w:val="0"/>
              <w:snapToGrid w:val="0"/>
              <w:spacing w:line="0" w:lineRule="atLeast"/>
              <w:jc w:val="center"/>
              <w:rPr>
                <w:rFonts w:ascii="宋体" w:hAnsi="宋体" w:cs="宋体"/>
                <w:szCs w:val="21"/>
              </w:rPr>
            </w:pPr>
            <w:r>
              <w:rPr>
                <w:rFonts w:hint="eastAsia" w:ascii="宋体" w:hAnsi="宋体" w:cs="宋体"/>
                <w:szCs w:val="21"/>
              </w:rPr>
              <w:t>国家精品资源共享课</w:t>
            </w:r>
          </w:p>
        </w:tc>
        <w:tc>
          <w:tcPr>
            <w:tcW w:w="3784" w:type="dxa"/>
            <w:tcBorders>
              <w:tl2br w:val="nil"/>
              <w:tr2bl w:val="nil"/>
            </w:tcBorders>
            <w:vAlign w:val="center"/>
          </w:tcPr>
          <w:p>
            <w:pPr>
              <w:adjustRightInd w:val="0"/>
              <w:snapToGrid w:val="0"/>
              <w:spacing w:line="0" w:lineRule="atLeast"/>
              <w:jc w:val="center"/>
              <w:rPr>
                <w:rFonts w:ascii="宋体" w:hAnsi="宋体" w:cs="宋体"/>
                <w:szCs w:val="21"/>
              </w:rPr>
            </w:pPr>
            <w:r>
              <w:rPr>
                <w:rFonts w:hint="eastAsia" w:ascii="宋体" w:hAnsi="宋体" w:cs="宋体"/>
                <w:szCs w:val="21"/>
              </w:rPr>
              <w:t>马克思主义基本原理概论</w:t>
            </w:r>
          </w:p>
        </w:tc>
        <w:tc>
          <w:tcPr>
            <w:tcW w:w="1103" w:type="dxa"/>
            <w:tcBorders>
              <w:tl2br w:val="nil"/>
              <w:tr2bl w:val="nil"/>
            </w:tcBorders>
            <w:vAlign w:val="center"/>
          </w:tcPr>
          <w:p>
            <w:pPr>
              <w:adjustRightInd w:val="0"/>
              <w:snapToGrid w:val="0"/>
              <w:spacing w:line="0" w:lineRule="atLeast"/>
              <w:jc w:val="center"/>
              <w:rPr>
                <w:rFonts w:ascii="宋体" w:hAnsi="宋体" w:cs="宋体"/>
                <w:szCs w:val="21"/>
              </w:rPr>
            </w:pPr>
            <w:r>
              <w:rPr>
                <w:rFonts w:hint="eastAsia" w:ascii="宋体" w:hAnsi="宋体" w:cs="宋体"/>
                <w:szCs w:val="21"/>
              </w:rPr>
              <w:t>熊晓红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64" w:hRule="atLeast"/>
          <w:jc w:val="center"/>
        </w:trPr>
        <w:tc>
          <w:tcPr>
            <w:tcW w:w="759" w:type="dxa"/>
            <w:tcBorders>
              <w:tl2br w:val="nil"/>
              <w:tr2bl w:val="nil"/>
            </w:tcBorders>
            <w:vAlign w:val="center"/>
          </w:tcPr>
          <w:p>
            <w:pPr>
              <w:adjustRightInd w:val="0"/>
              <w:snapToGrid w:val="0"/>
              <w:spacing w:line="0" w:lineRule="atLeast"/>
              <w:jc w:val="center"/>
              <w:rPr>
                <w:rFonts w:ascii="宋体" w:hAnsi="宋体" w:cs="宋体"/>
                <w:szCs w:val="21"/>
              </w:rPr>
            </w:pPr>
            <w:r>
              <w:rPr>
                <w:rFonts w:hint="eastAsia" w:ascii="宋体" w:hAnsi="宋体" w:cs="宋体"/>
                <w:szCs w:val="21"/>
              </w:rPr>
              <w:t>2020</w:t>
            </w:r>
          </w:p>
        </w:tc>
        <w:tc>
          <w:tcPr>
            <w:tcW w:w="3612" w:type="dxa"/>
            <w:tcBorders>
              <w:tl2br w:val="nil"/>
              <w:tr2bl w:val="nil"/>
            </w:tcBorders>
            <w:vAlign w:val="center"/>
          </w:tcPr>
          <w:p>
            <w:pPr>
              <w:adjustRightInd w:val="0"/>
              <w:snapToGrid w:val="0"/>
              <w:spacing w:line="0" w:lineRule="atLeast"/>
              <w:jc w:val="center"/>
              <w:rPr>
                <w:rFonts w:ascii="宋体" w:hAnsi="宋体" w:cs="宋体"/>
                <w:szCs w:val="21"/>
              </w:rPr>
            </w:pPr>
            <w:r>
              <w:rPr>
                <w:rFonts w:hint="eastAsia" w:ascii="宋体" w:hAnsi="宋体" w:cs="宋体"/>
                <w:szCs w:val="21"/>
              </w:rPr>
              <w:t>国家一流本科课程</w:t>
            </w:r>
          </w:p>
        </w:tc>
        <w:tc>
          <w:tcPr>
            <w:tcW w:w="3784" w:type="dxa"/>
            <w:tcBorders>
              <w:tl2br w:val="nil"/>
              <w:tr2bl w:val="nil"/>
            </w:tcBorders>
            <w:vAlign w:val="center"/>
          </w:tcPr>
          <w:p>
            <w:pPr>
              <w:adjustRightInd w:val="0"/>
              <w:snapToGrid w:val="0"/>
              <w:spacing w:line="0" w:lineRule="atLeast"/>
              <w:jc w:val="center"/>
              <w:rPr>
                <w:rFonts w:ascii="宋体" w:hAnsi="宋体" w:cs="宋体"/>
                <w:szCs w:val="21"/>
              </w:rPr>
            </w:pPr>
            <w:r>
              <w:rPr>
                <w:rFonts w:hint="eastAsia" w:ascii="宋体" w:hAnsi="宋体" w:cs="宋体"/>
                <w:spacing w:val="-11"/>
                <w:szCs w:val="21"/>
              </w:rPr>
              <w:t>毛泽东思想与中国特色社会主义理论体系概论——基于“两山”理念研学基地的实践教学</w:t>
            </w:r>
          </w:p>
        </w:tc>
        <w:tc>
          <w:tcPr>
            <w:tcW w:w="1103" w:type="dxa"/>
            <w:tcBorders>
              <w:tl2br w:val="nil"/>
              <w:tr2bl w:val="nil"/>
            </w:tcBorders>
            <w:vAlign w:val="center"/>
          </w:tcPr>
          <w:p>
            <w:pPr>
              <w:adjustRightInd w:val="0"/>
              <w:snapToGrid w:val="0"/>
              <w:spacing w:line="0" w:lineRule="atLeast"/>
              <w:jc w:val="center"/>
              <w:rPr>
                <w:rFonts w:ascii="宋体" w:hAnsi="宋体" w:cs="宋体"/>
                <w:szCs w:val="21"/>
              </w:rPr>
            </w:pPr>
            <w:r>
              <w:rPr>
                <w:rFonts w:hint="eastAsia" w:ascii="宋体" w:hAnsi="宋体" w:cs="宋体"/>
                <w:szCs w:val="21"/>
              </w:rPr>
              <w:t>吴凡明</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trHeight w:val="594" w:hRule="atLeast"/>
          <w:jc w:val="center"/>
        </w:trPr>
        <w:tc>
          <w:tcPr>
            <w:tcW w:w="759" w:type="dxa"/>
            <w:tcBorders>
              <w:tl2br w:val="nil"/>
              <w:tr2bl w:val="nil"/>
            </w:tcBorders>
            <w:vAlign w:val="center"/>
          </w:tcPr>
          <w:p>
            <w:pPr>
              <w:adjustRightInd w:val="0"/>
              <w:snapToGrid w:val="0"/>
              <w:spacing w:line="0" w:lineRule="atLeast"/>
              <w:jc w:val="center"/>
              <w:rPr>
                <w:rFonts w:ascii="宋体" w:hAnsi="宋体" w:cs="宋体"/>
                <w:szCs w:val="21"/>
              </w:rPr>
            </w:pPr>
            <w:r>
              <w:rPr>
                <w:rFonts w:hint="eastAsia" w:ascii="宋体" w:hAnsi="宋体" w:cs="宋体"/>
                <w:szCs w:val="21"/>
              </w:rPr>
              <w:t>2013</w:t>
            </w:r>
          </w:p>
        </w:tc>
        <w:tc>
          <w:tcPr>
            <w:tcW w:w="3612" w:type="dxa"/>
            <w:tcBorders>
              <w:tl2br w:val="nil"/>
              <w:tr2bl w:val="nil"/>
            </w:tcBorders>
            <w:vAlign w:val="center"/>
          </w:tcPr>
          <w:p>
            <w:pPr>
              <w:adjustRightInd w:val="0"/>
              <w:snapToGrid w:val="0"/>
              <w:spacing w:line="0" w:lineRule="atLeast"/>
              <w:jc w:val="center"/>
              <w:rPr>
                <w:rFonts w:ascii="宋体" w:hAnsi="宋体" w:cs="宋体"/>
                <w:szCs w:val="21"/>
              </w:rPr>
            </w:pPr>
            <w:r>
              <w:rPr>
                <w:rFonts w:hint="eastAsia" w:ascii="宋体" w:hAnsi="宋体" w:cs="宋体"/>
                <w:szCs w:val="21"/>
              </w:rPr>
              <w:t>国家级教学基地</w:t>
            </w:r>
          </w:p>
        </w:tc>
        <w:tc>
          <w:tcPr>
            <w:tcW w:w="3784" w:type="dxa"/>
            <w:tcBorders>
              <w:tl2br w:val="nil"/>
              <w:tr2bl w:val="nil"/>
            </w:tcBorders>
            <w:vAlign w:val="center"/>
          </w:tcPr>
          <w:p>
            <w:pPr>
              <w:adjustRightInd w:val="0"/>
              <w:snapToGrid w:val="0"/>
              <w:spacing w:line="0" w:lineRule="atLeast"/>
              <w:jc w:val="center"/>
              <w:rPr>
                <w:rFonts w:ascii="宋体" w:hAnsi="宋体" w:cs="宋体"/>
                <w:szCs w:val="21"/>
              </w:rPr>
            </w:pPr>
            <w:r>
              <w:rPr>
                <w:rFonts w:hint="eastAsia" w:ascii="宋体" w:hAnsi="宋体" w:cs="宋体"/>
                <w:szCs w:val="21"/>
              </w:rPr>
              <w:t>湖州多媒体产业园发展有限公司工程实践教育中心</w:t>
            </w:r>
          </w:p>
        </w:tc>
        <w:tc>
          <w:tcPr>
            <w:tcW w:w="1103" w:type="dxa"/>
            <w:tcBorders>
              <w:tl2br w:val="nil"/>
              <w:tr2bl w:val="nil"/>
            </w:tcBorders>
            <w:vAlign w:val="center"/>
          </w:tcPr>
          <w:p>
            <w:pPr>
              <w:adjustRightInd w:val="0"/>
              <w:snapToGrid w:val="0"/>
              <w:spacing w:line="0" w:lineRule="atLeast"/>
              <w:jc w:val="center"/>
              <w:rPr>
                <w:rFonts w:ascii="宋体" w:hAnsi="宋体" w:cs="宋体"/>
                <w:szCs w:val="21"/>
              </w:rPr>
            </w:pPr>
            <w:r>
              <w:rPr>
                <w:rFonts w:hint="eastAsia" w:ascii="宋体" w:hAnsi="宋体" w:cs="宋体"/>
                <w:szCs w:val="21"/>
              </w:rPr>
              <w:t>蒋云良</w:t>
            </w:r>
          </w:p>
        </w:tc>
      </w:tr>
    </w:tbl>
    <w:p>
      <w:pPr>
        <w:spacing w:line="240" w:lineRule="exact"/>
        <w:ind w:firstLine="456" w:firstLineChars="200"/>
        <w:rPr>
          <w:rFonts w:ascii="宋体" w:hAnsi="宋体" w:cs="宋体"/>
          <w:b/>
          <w:bCs/>
          <w:sz w:val="24"/>
        </w:rPr>
      </w:pPr>
    </w:p>
    <w:p>
      <w:pPr>
        <w:rPr>
          <w:rFonts w:ascii="黑体" w:hAnsi="黑体" w:eastAsia="黑体" w:cs="黑体"/>
          <w:sz w:val="28"/>
          <w:szCs w:val="28"/>
        </w:rPr>
      </w:pPr>
      <w:r>
        <w:rPr>
          <w:rFonts w:hint="eastAsia" w:ascii="黑体" w:hAnsi="黑体" w:eastAsia="黑体" w:cs="黑体"/>
          <w:sz w:val="28"/>
          <w:szCs w:val="28"/>
        </w:rPr>
        <w:t>（二）课程建设与改革</w:t>
      </w:r>
    </w:p>
    <w:p>
      <w:pPr>
        <w:adjustRightInd w:val="0"/>
        <w:snapToGrid w:val="0"/>
        <w:rPr>
          <w:rFonts w:ascii="黑体" w:hAnsi="黑体" w:eastAsia="黑体" w:cs="黑体"/>
          <w:sz w:val="24"/>
        </w:rPr>
      </w:pPr>
      <w:r>
        <w:rPr>
          <w:rFonts w:hint="eastAsia" w:ascii="黑体" w:hAnsi="黑体" w:eastAsia="黑体" w:cs="黑体"/>
          <w:sz w:val="24"/>
        </w:rPr>
        <w:t xml:space="preserve">1. 本科教学课程开设情况 </w:t>
      </w:r>
    </w:p>
    <w:p>
      <w:pPr>
        <w:adjustRightInd w:val="0"/>
        <w:snapToGrid w:val="0"/>
        <w:spacing w:line="400" w:lineRule="exact"/>
        <w:ind w:firstLine="456" w:firstLineChars="200"/>
        <w:rPr>
          <w:rFonts w:ascii="宋体" w:hAnsi="宋体" w:cs="宋体"/>
          <w:sz w:val="24"/>
        </w:rPr>
      </w:pPr>
      <w:r>
        <w:rPr>
          <w:rFonts w:hint="eastAsia" w:ascii="宋体" w:hAnsi="宋体" w:cs="宋体"/>
          <w:sz w:val="24"/>
        </w:rPr>
        <w:t>2020-2021学年，开设课程门数2244门，开设课程总门次4889门次，开设选修课门数1044门, 开设选修课门次1711门次。学校对于招生规模比较大的专业，基础课采用大班教学，规模一般为90人；专业课采用分班教学，规模一般为40人。</w:t>
      </w:r>
    </w:p>
    <w:p>
      <w:pPr>
        <w:spacing w:line="400" w:lineRule="exact"/>
        <w:jc w:val="center"/>
        <w:rPr>
          <w:rFonts w:ascii="宋体" w:hAnsi="宋体" w:cs="宋体"/>
          <w:b/>
          <w:kern w:val="0"/>
          <w:szCs w:val="21"/>
        </w:rPr>
      </w:pPr>
      <w:r>
        <w:rPr>
          <w:rFonts w:hint="eastAsia" w:ascii="宋体" w:hAnsi="宋体" w:cs="宋体"/>
          <w:b/>
          <w:kern w:val="0"/>
          <w:szCs w:val="21"/>
        </w:rPr>
        <w:t>表3  2020-2021学年本科教学情况一览表</w:t>
      </w:r>
    </w:p>
    <w:tbl>
      <w:tblPr>
        <w:tblStyle w:val="9"/>
        <w:tblW w:w="924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649"/>
        <w:gridCol w:w="559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3546" w:type="dxa"/>
            <w:vAlign w:val="center"/>
          </w:tcPr>
          <w:p>
            <w:pPr>
              <w:adjustRightInd w:val="0"/>
              <w:snapToGrid w:val="0"/>
              <w:spacing w:line="0" w:lineRule="atLeast"/>
              <w:jc w:val="center"/>
              <w:rPr>
                <w:rFonts w:ascii="黑体" w:hAnsi="黑体" w:eastAsia="黑体" w:cs="黑体"/>
                <w:szCs w:val="21"/>
              </w:rPr>
            </w:pPr>
            <w:r>
              <w:rPr>
                <w:rFonts w:hint="eastAsia" w:ascii="黑体" w:hAnsi="黑体" w:eastAsia="黑体" w:cs="黑体"/>
                <w:szCs w:val="21"/>
              </w:rPr>
              <w:t>课程教学基本指标</w:t>
            </w:r>
          </w:p>
        </w:tc>
        <w:tc>
          <w:tcPr>
            <w:tcW w:w="5435" w:type="dxa"/>
            <w:vAlign w:val="center"/>
          </w:tcPr>
          <w:p>
            <w:pPr>
              <w:adjustRightInd w:val="0"/>
              <w:snapToGrid w:val="0"/>
              <w:spacing w:line="0" w:lineRule="atLeast"/>
              <w:jc w:val="center"/>
              <w:rPr>
                <w:rFonts w:ascii="黑体" w:hAnsi="黑体" w:eastAsia="黑体" w:cs="黑体"/>
                <w:szCs w:val="21"/>
              </w:rPr>
            </w:pPr>
            <w:r>
              <w:rPr>
                <w:rFonts w:hint="eastAsia" w:ascii="黑体" w:hAnsi="黑体" w:eastAsia="黑体" w:cs="黑体"/>
                <w:szCs w:val="21"/>
              </w:rPr>
              <w:t>数  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659" w:hRule="atLeast"/>
          <w:jc w:val="center"/>
        </w:trPr>
        <w:tc>
          <w:tcPr>
            <w:tcW w:w="3546" w:type="dxa"/>
            <w:vAlign w:val="center"/>
          </w:tcPr>
          <w:p>
            <w:pPr>
              <w:adjustRightInd w:val="0"/>
              <w:snapToGrid w:val="0"/>
              <w:spacing w:line="0" w:lineRule="atLeast"/>
              <w:jc w:val="center"/>
              <w:rPr>
                <w:rFonts w:ascii="黑体" w:hAnsi="黑体" w:eastAsia="黑体" w:cs="黑体"/>
                <w:szCs w:val="21"/>
              </w:rPr>
            </w:pPr>
            <w:r>
              <w:rPr>
                <w:rFonts w:hint="eastAsia" w:ascii="黑体" w:hAnsi="黑体" w:eastAsia="黑体" w:cs="黑体"/>
                <w:szCs w:val="21"/>
              </w:rPr>
              <w:t>全校开设课程总门数/门次</w:t>
            </w:r>
          </w:p>
        </w:tc>
        <w:tc>
          <w:tcPr>
            <w:tcW w:w="5435" w:type="dxa"/>
            <w:vAlign w:val="center"/>
          </w:tcPr>
          <w:p>
            <w:pPr>
              <w:adjustRightInd w:val="0"/>
              <w:snapToGrid w:val="0"/>
              <w:spacing w:line="0" w:lineRule="atLeast"/>
              <w:jc w:val="center"/>
              <w:rPr>
                <w:rFonts w:ascii="宋体" w:hAnsi="宋体" w:cs="宋体"/>
                <w:szCs w:val="21"/>
              </w:rPr>
            </w:pPr>
            <w:r>
              <w:rPr>
                <w:rFonts w:hint="eastAsia" w:ascii="宋体" w:hAnsi="宋体" w:cs="宋体"/>
                <w:szCs w:val="21"/>
              </w:rPr>
              <w:t>2244/4889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3546" w:type="dxa"/>
            <w:vAlign w:val="center"/>
          </w:tcPr>
          <w:p>
            <w:pPr>
              <w:adjustRightInd w:val="0"/>
              <w:snapToGrid w:val="0"/>
              <w:spacing w:line="0" w:lineRule="atLeast"/>
              <w:jc w:val="center"/>
              <w:rPr>
                <w:rFonts w:ascii="黑体" w:hAnsi="黑体" w:eastAsia="黑体" w:cs="黑体"/>
                <w:szCs w:val="21"/>
              </w:rPr>
            </w:pPr>
            <w:r>
              <w:rPr>
                <w:rFonts w:hint="eastAsia" w:ascii="黑体" w:hAnsi="黑体" w:eastAsia="黑体" w:cs="黑体"/>
                <w:szCs w:val="21"/>
              </w:rPr>
              <w:t>选修课门数/门次</w:t>
            </w:r>
          </w:p>
        </w:tc>
        <w:tc>
          <w:tcPr>
            <w:tcW w:w="5435" w:type="dxa"/>
            <w:vAlign w:val="center"/>
          </w:tcPr>
          <w:p>
            <w:pPr>
              <w:adjustRightInd w:val="0"/>
              <w:snapToGrid w:val="0"/>
              <w:spacing w:line="0" w:lineRule="atLeast"/>
              <w:jc w:val="center"/>
              <w:rPr>
                <w:rFonts w:ascii="宋体" w:hAnsi="宋体" w:cs="宋体"/>
                <w:szCs w:val="21"/>
              </w:rPr>
            </w:pPr>
            <w:r>
              <w:rPr>
                <w:rFonts w:hint="eastAsia" w:ascii="宋体" w:hAnsi="宋体" w:cs="宋体"/>
                <w:szCs w:val="21"/>
              </w:rPr>
              <w:t>1044/1711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3546" w:type="dxa"/>
            <w:vAlign w:val="center"/>
          </w:tcPr>
          <w:p>
            <w:pPr>
              <w:adjustRightInd w:val="0"/>
              <w:snapToGrid w:val="0"/>
              <w:spacing w:line="0" w:lineRule="atLeast"/>
              <w:jc w:val="center"/>
              <w:rPr>
                <w:rFonts w:ascii="黑体" w:hAnsi="黑体" w:eastAsia="黑体" w:cs="黑体"/>
                <w:szCs w:val="21"/>
              </w:rPr>
            </w:pPr>
            <w:r>
              <w:rPr>
                <w:rFonts w:hint="eastAsia" w:ascii="黑体" w:hAnsi="黑体" w:eastAsia="黑体" w:cs="黑体"/>
                <w:szCs w:val="21"/>
              </w:rPr>
              <w:t>教授主讲的课程门次占比</w:t>
            </w:r>
          </w:p>
        </w:tc>
        <w:tc>
          <w:tcPr>
            <w:tcW w:w="5435" w:type="dxa"/>
            <w:vAlign w:val="center"/>
          </w:tcPr>
          <w:p>
            <w:pPr>
              <w:adjustRightInd w:val="0"/>
              <w:snapToGrid w:val="0"/>
              <w:spacing w:line="0" w:lineRule="atLeast"/>
              <w:jc w:val="center"/>
              <w:rPr>
                <w:rFonts w:ascii="宋体" w:hAnsi="宋体" w:cs="宋体"/>
                <w:szCs w:val="21"/>
              </w:rPr>
            </w:pPr>
            <w:r>
              <w:rPr>
                <w:rFonts w:hint="eastAsia" w:ascii="宋体" w:hAnsi="宋体" w:cs="宋体"/>
                <w:szCs w:val="21"/>
              </w:rPr>
              <w:t>7.06%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3546" w:type="dxa"/>
            <w:vAlign w:val="center"/>
          </w:tcPr>
          <w:p>
            <w:pPr>
              <w:adjustRightInd w:val="0"/>
              <w:snapToGrid w:val="0"/>
              <w:spacing w:line="0" w:lineRule="atLeast"/>
              <w:jc w:val="center"/>
              <w:rPr>
                <w:rFonts w:ascii="黑体" w:hAnsi="黑体" w:eastAsia="黑体" w:cs="黑体"/>
                <w:szCs w:val="21"/>
              </w:rPr>
            </w:pPr>
            <w:r>
              <w:rPr>
                <w:rFonts w:hint="eastAsia" w:ascii="黑体" w:hAnsi="黑体" w:eastAsia="黑体" w:cs="黑体"/>
                <w:szCs w:val="21"/>
              </w:rPr>
              <w:t>主讲本科课程的教授占教授</w:t>
            </w:r>
          </w:p>
          <w:p>
            <w:pPr>
              <w:adjustRightInd w:val="0"/>
              <w:snapToGrid w:val="0"/>
              <w:spacing w:line="0" w:lineRule="atLeast"/>
              <w:jc w:val="center"/>
              <w:rPr>
                <w:rFonts w:ascii="黑体" w:hAnsi="黑体" w:eastAsia="黑体" w:cs="黑体"/>
                <w:szCs w:val="21"/>
              </w:rPr>
            </w:pPr>
            <w:r>
              <w:rPr>
                <w:rFonts w:hint="eastAsia" w:ascii="黑体" w:hAnsi="黑体" w:eastAsia="黑体" w:cs="黑体"/>
                <w:szCs w:val="21"/>
              </w:rPr>
              <w:t>总数的比例</w:t>
            </w:r>
          </w:p>
        </w:tc>
        <w:tc>
          <w:tcPr>
            <w:tcW w:w="5435" w:type="dxa"/>
            <w:vAlign w:val="center"/>
          </w:tcPr>
          <w:p>
            <w:pPr>
              <w:adjustRightInd w:val="0"/>
              <w:snapToGrid w:val="0"/>
              <w:spacing w:line="0" w:lineRule="atLeast"/>
              <w:jc w:val="center"/>
              <w:rPr>
                <w:rFonts w:ascii="宋体" w:hAnsi="宋体" w:cs="宋体"/>
                <w:szCs w:val="21"/>
              </w:rPr>
            </w:pPr>
            <w:r>
              <w:rPr>
                <w:rFonts w:hint="eastAsia" w:ascii="宋体" w:hAnsi="宋体" w:cs="宋体"/>
                <w:szCs w:val="21"/>
              </w:rPr>
              <w:t>98.28%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930" w:hRule="atLeast"/>
          <w:jc w:val="center"/>
        </w:trPr>
        <w:tc>
          <w:tcPr>
            <w:tcW w:w="3546" w:type="dxa"/>
            <w:vAlign w:val="center"/>
          </w:tcPr>
          <w:p>
            <w:pPr>
              <w:adjustRightInd w:val="0"/>
              <w:snapToGrid w:val="0"/>
              <w:spacing w:line="0" w:lineRule="atLeast"/>
              <w:jc w:val="center"/>
              <w:rPr>
                <w:rFonts w:ascii="黑体" w:hAnsi="黑体" w:eastAsia="黑体" w:cs="黑体"/>
                <w:szCs w:val="21"/>
              </w:rPr>
            </w:pPr>
            <w:r>
              <w:rPr>
                <w:rFonts w:hint="eastAsia" w:ascii="黑体" w:hAnsi="黑体" w:eastAsia="黑体" w:cs="黑体"/>
                <w:szCs w:val="21"/>
              </w:rPr>
              <w:t>班额比例（课堂教学规模）</w:t>
            </w:r>
          </w:p>
        </w:tc>
        <w:tc>
          <w:tcPr>
            <w:tcW w:w="5435" w:type="dxa"/>
            <w:vAlign w:val="center"/>
          </w:tcPr>
          <w:p>
            <w:pPr>
              <w:adjustRightInd w:val="0"/>
              <w:snapToGrid w:val="0"/>
              <w:spacing w:line="0" w:lineRule="atLeast"/>
              <w:jc w:val="center"/>
              <w:rPr>
                <w:rFonts w:ascii="宋体" w:hAnsi="宋体" w:cs="宋体"/>
                <w:szCs w:val="21"/>
              </w:rPr>
            </w:pPr>
            <w:r>
              <w:rPr>
                <w:rFonts w:hint="eastAsia" w:ascii="宋体" w:hAnsi="宋体" w:cs="宋体"/>
                <w:szCs w:val="21"/>
              </w:rPr>
              <w:t>少于30人：29.37%</w:t>
            </w:r>
          </w:p>
          <w:p>
            <w:pPr>
              <w:adjustRightInd w:val="0"/>
              <w:snapToGrid w:val="0"/>
              <w:spacing w:line="0" w:lineRule="atLeast"/>
              <w:jc w:val="center"/>
              <w:rPr>
                <w:rFonts w:ascii="宋体" w:hAnsi="宋体" w:cs="宋体"/>
                <w:szCs w:val="21"/>
              </w:rPr>
            </w:pPr>
            <w:r>
              <w:rPr>
                <w:rFonts w:hint="eastAsia" w:ascii="宋体" w:hAnsi="宋体" w:cs="宋体"/>
                <w:szCs w:val="21"/>
              </w:rPr>
              <w:t>31人到60人：53.98%</w:t>
            </w:r>
          </w:p>
          <w:p>
            <w:pPr>
              <w:adjustRightInd w:val="0"/>
              <w:snapToGrid w:val="0"/>
              <w:spacing w:line="0" w:lineRule="atLeast"/>
              <w:jc w:val="center"/>
              <w:rPr>
                <w:rFonts w:ascii="宋体" w:hAnsi="宋体" w:cs="宋体"/>
                <w:szCs w:val="21"/>
              </w:rPr>
            </w:pPr>
            <w:r>
              <w:rPr>
                <w:rFonts w:hint="eastAsia" w:ascii="宋体" w:hAnsi="宋体" w:cs="宋体"/>
                <w:szCs w:val="21"/>
              </w:rPr>
              <w:t>61人到90人：11%</w:t>
            </w:r>
          </w:p>
          <w:p>
            <w:pPr>
              <w:adjustRightInd w:val="0"/>
              <w:snapToGrid w:val="0"/>
              <w:spacing w:line="0" w:lineRule="atLeast"/>
              <w:jc w:val="center"/>
              <w:rPr>
                <w:rFonts w:ascii="宋体" w:hAnsi="宋体" w:cs="宋体"/>
                <w:szCs w:val="21"/>
              </w:rPr>
            </w:pPr>
            <w:r>
              <w:rPr>
                <w:rFonts w:hint="eastAsia" w:ascii="宋体" w:hAnsi="宋体" w:cs="宋体"/>
                <w:szCs w:val="21"/>
              </w:rPr>
              <w:t>大于90人：5.65%</w:t>
            </w:r>
          </w:p>
        </w:tc>
      </w:tr>
    </w:tbl>
    <w:p>
      <w:pPr>
        <w:spacing w:line="400" w:lineRule="exact"/>
        <w:ind w:firstLine="456" w:firstLineChars="200"/>
        <w:rPr>
          <w:rFonts w:ascii="宋体" w:hAnsi="宋体" w:cs="宋体"/>
          <w:kern w:val="0"/>
          <w:sz w:val="24"/>
        </w:rPr>
      </w:pPr>
    </w:p>
    <w:p>
      <w:pPr>
        <w:adjustRightInd w:val="0"/>
        <w:snapToGrid w:val="0"/>
        <w:rPr>
          <w:rFonts w:ascii="黑体" w:hAnsi="黑体" w:eastAsia="黑体" w:cs="黑体"/>
          <w:sz w:val="24"/>
        </w:rPr>
      </w:pPr>
      <w:r>
        <w:rPr>
          <w:rFonts w:hint="eastAsia" w:ascii="黑体" w:hAnsi="黑体" w:eastAsia="黑体" w:cs="黑体"/>
          <w:sz w:val="24"/>
        </w:rPr>
        <w:t>2. “习近平总书记关于教育的重要论述研究”课程开设情况</w:t>
      </w:r>
    </w:p>
    <w:p>
      <w:pPr>
        <w:spacing w:line="400" w:lineRule="exact"/>
        <w:ind w:firstLine="456" w:firstLineChars="200"/>
        <w:rPr>
          <w:rFonts w:ascii="宋体" w:hAnsi="宋体" w:cs="宋体"/>
          <w:sz w:val="24"/>
        </w:rPr>
      </w:pPr>
      <w:r>
        <w:rPr>
          <w:rFonts w:hint="eastAsia" w:ascii="宋体" w:hAnsi="宋体" w:cs="宋体"/>
          <w:sz w:val="24"/>
        </w:rPr>
        <w:t>学校把习近平总书记关于教育的重要论述作为校院两级党委理论学习中心组学习和教职工学习的重要内容，为全校二级党组织和每位思政教师发放《习近平总书记教育重要论述讲义》。通过集中宣讲、专题讲座、集中研讨等多种方式，组织全校师生认真学习、使用《讲义》，深刻领会习近平总书记关于教育的重要论述的核心要义，把握精神实质。</w:t>
      </w:r>
    </w:p>
    <w:p>
      <w:pPr>
        <w:spacing w:line="400" w:lineRule="exact"/>
        <w:ind w:firstLine="456" w:firstLineChars="200"/>
        <w:rPr>
          <w:rFonts w:ascii="宋体" w:hAnsi="宋体" w:cs="宋体"/>
          <w:sz w:val="24"/>
        </w:rPr>
      </w:pPr>
      <w:r>
        <w:rPr>
          <w:rFonts w:hint="eastAsia" w:ascii="宋体" w:hAnsi="宋体" w:cs="宋体"/>
          <w:sz w:val="24"/>
        </w:rPr>
        <w:t>校领导大力支持、全力参与、率先垂范。2020年12月，校党委书记金佩华在主题为“领悟抗疫精神 用爱书写人生”2020级新生始业教育报告会上，带领师生一同观看习近平总书记在浙江工作期间来校视察时的珍贵影像，重温总书记当年对我校“明体达用”校训的解读，以及“坚持‘因地制宜、体现特色、服务地方’的办学要求”、培养“六有”人才、“把湖州师范学院建设成在国内有一定影响、一定水平、一定地位的湖州师范大学”的嘱托。</w:t>
      </w:r>
    </w:p>
    <w:p>
      <w:pPr>
        <w:spacing w:line="400" w:lineRule="exact"/>
        <w:ind w:firstLine="456" w:firstLineChars="200"/>
        <w:rPr>
          <w:rFonts w:ascii="宋体" w:hAnsi="宋体" w:cs="宋体"/>
          <w:sz w:val="24"/>
        </w:rPr>
      </w:pPr>
      <w:r>
        <w:rPr>
          <w:rFonts w:hint="eastAsia" w:ascii="宋体" w:hAnsi="宋体" w:cs="宋体"/>
          <w:sz w:val="24"/>
        </w:rPr>
        <w:t>教务处下发《关于学习习近平总书记关于教育的重要论述的教学安排》，在通识必修课程中开设“习近平总书记关于教育的重要论述”学习专题，修订人才培养方案，推进人才培养改革落地落实。马克思主义学院以思想政治理论课各教研室为单位，依托“吴凡明教授工作室”“尹怀斌工作室”2个省高校思想政治理论课名师工作室，以及市级“张建庆名师工作室”，对如何将习近平总书记教育重要论述融入思想政治理论课开展集体研讨并制定融入方案。2021年6月，举办“湖州市大中小学思政课一体化建设课程与教学研讨会”，研究大中小学思政教育教学规律，增强立德树人教育使命感,深入学习贯彻习近平总书记关于教育的重要论述。并在《形势与政策》《教育学基础》《教师入职指南》等课程中，开设“习近平总书记教育重要论述讲义”专题内容。2021年4-5月，《师范类专业认证背景下思政元素融入教师教育课程教学的探索与实践》获浙江省高校课程思政教学项目，《小学生品德发展与道德教育》入选浙江省高校课程思政教学案例。</w:t>
      </w:r>
    </w:p>
    <w:p>
      <w:pPr>
        <w:spacing w:line="400" w:lineRule="exact"/>
        <w:ind w:firstLine="456" w:firstLineChars="200"/>
        <w:rPr>
          <w:rFonts w:ascii="宋体" w:hAnsi="宋体" w:cs="宋体"/>
          <w:sz w:val="24"/>
        </w:rPr>
      </w:pPr>
      <w:r>
        <w:rPr>
          <w:rFonts w:hint="eastAsia" w:ascii="宋体" w:hAnsi="宋体" w:cs="宋体"/>
          <w:sz w:val="24"/>
        </w:rPr>
        <w:t>此外，学校充分发掘各类课程和教学方式中蕴含的思想政治教育资源，加大课程思政专项建设力度，把课程思政建设作为落实立德树人根本任务的重要举措。2020-2021学年，获批省级课程思政示范基层教学组织1个</w:t>
      </w:r>
      <w:r>
        <w:rPr>
          <w:rFonts w:hint="eastAsia" w:ascii="宋体" w:hAnsi="宋体" w:cs="宋体"/>
          <w:color w:val="000000" w:themeColor="text1"/>
          <w:sz w:val="24"/>
          <w14:textFill>
            <w14:solidFill>
              <w14:schemeClr w14:val="tx1"/>
            </w14:solidFill>
          </w14:textFill>
        </w:rPr>
        <w:t>，省级课程思政示范课程6门，省级课程思政教学研究项目6个，遴选校级思政示范课程20门</w:t>
      </w:r>
      <w:r>
        <w:rPr>
          <w:rFonts w:hint="eastAsia" w:ascii="宋体" w:hAnsi="宋体" w:cs="宋体"/>
          <w:sz w:val="24"/>
        </w:rPr>
        <w:t>。</w:t>
      </w:r>
    </w:p>
    <w:p>
      <w:pPr>
        <w:adjustRightInd w:val="0"/>
        <w:snapToGrid w:val="0"/>
        <w:rPr>
          <w:rFonts w:ascii="黑体" w:hAnsi="黑体" w:eastAsia="黑体" w:cs="黑体"/>
          <w:sz w:val="24"/>
        </w:rPr>
      </w:pPr>
      <w:r>
        <w:rPr>
          <w:rFonts w:hint="eastAsia" w:ascii="黑体" w:hAnsi="黑体" w:eastAsia="黑体" w:cs="黑体"/>
          <w:sz w:val="24"/>
        </w:rPr>
        <w:t>3. 一流课程与在线课程建设</w:t>
      </w:r>
    </w:p>
    <w:p>
      <w:pPr>
        <w:spacing w:line="400" w:lineRule="exact"/>
        <w:ind w:firstLine="456" w:firstLineChars="200"/>
        <w:rPr>
          <w:rFonts w:ascii="宋体" w:hAnsi="宋体" w:cs="宋体"/>
          <w:color w:val="000000" w:themeColor="text1"/>
          <w:sz w:val="24"/>
          <w14:textFill>
            <w14:solidFill>
              <w14:schemeClr w14:val="tx1"/>
            </w14:solidFill>
          </w14:textFill>
        </w:rPr>
      </w:pPr>
      <w:r>
        <w:rPr>
          <w:rFonts w:hint="eastAsia" w:ascii="宋体" w:hAnsi="宋体" w:cs="宋体"/>
          <w:sz w:val="24"/>
        </w:rPr>
        <w:t>出台《本科课程建设与管理办法（试行）》，以“明体达用”高素质应用型人才培养为目标，聚焦新工科、新医科、新农科和新文科，遵循学科、专业课程一体化建设思路，坚持“规划引领、分层建设，质量为要、持续改进，开放共享、强化特色”的建设原则，着力打造具有高阶性、创新性和挑战度的线下、线上、线上线下混合、虚拟仿真和社会实践“金课”，构建具</w:t>
      </w:r>
      <w:r>
        <w:rPr>
          <w:rFonts w:hint="eastAsia" w:ascii="宋体" w:hAnsi="宋体" w:cs="宋体"/>
          <w:color w:val="000000" w:themeColor="text1"/>
          <w:sz w:val="24"/>
          <w14:textFill>
            <w14:solidFill>
              <w14:schemeClr w14:val="tx1"/>
            </w14:solidFill>
          </w14:textFill>
        </w:rPr>
        <w:t>有学校特色</w:t>
      </w:r>
      <w:r>
        <w:rPr>
          <w:rFonts w:hint="eastAsia" w:ascii="宋体" w:hAnsi="宋体" w:cs="宋体"/>
          <w:sz w:val="24"/>
        </w:rPr>
        <w:t>的一流本科课程体系。</w:t>
      </w:r>
      <w:r>
        <w:rPr>
          <w:rFonts w:hint="eastAsia" w:ascii="宋体" w:hAnsi="宋体" w:cs="宋体"/>
          <w:color w:val="000000" w:themeColor="text1"/>
          <w:sz w:val="24"/>
          <w14:textFill>
            <w14:solidFill>
              <w14:schemeClr w14:val="tx1"/>
            </w14:solidFill>
          </w14:textFill>
        </w:rPr>
        <w:t>2020年，“毛泽东思想与中国特色社会主义理论体系概论——基于“两山”理念研学基地的实践教学”获批为国家级一流课程，另获省级一流本科课程建设项目45项，省级“互联网+教学”优秀案例特等奖2项、一等奖4项、二等奖4项。</w:t>
      </w:r>
    </w:p>
    <w:p>
      <w:pPr>
        <w:spacing w:line="400" w:lineRule="exact"/>
        <w:ind w:firstLine="456" w:firstLineChars="200"/>
        <w:rPr>
          <w:rFonts w:ascii="宋体" w:hAnsi="宋体" w:cs="宋体"/>
          <w:sz w:val="24"/>
        </w:rPr>
      </w:pPr>
      <w:r>
        <w:rPr>
          <w:rFonts w:hint="eastAsia" w:ascii="宋体" w:hAnsi="宋体" w:cs="宋体"/>
          <w:sz w:val="24"/>
        </w:rPr>
        <w:t>学校先后引进超星尔雅、泛雅课程平台，为教师开展翻转课堂、进行混合式教学提供资源保障。截至2021年9月，引进超星尔雅、智慧树等网络课程近500门，在泛雅网络课程平台自建课程资源300余门。此外，依托浙江省高等学校在线开放课程共享平台，开展优质课程资源共建共享</w:t>
      </w:r>
      <w:r>
        <w:rPr>
          <w:rFonts w:hint="eastAsia" w:ascii="宋体" w:hAnsi="宋体" w:cs="宋体"/>
          <w:color w:val="000000" w:themeColor="text1"/>
          <w:sz w:val="24"/>
          <w14:textFill>
            <w14:solidFill>
              <w14:schemeClr w14:val="tx1"/>
            </w14:solidFill>
          </w14:textFill>
        </w:rPr>
        <w:t>。2020年度，</w:t>
      </w:r>
      <w:r>
        <w:rPr>
          <w:rFonts w:hint="eastAsia" w:ascii="宋体" w:hAnsi="宋体" w:cs="宋体"/>
          <w:sz w:val="24"/>
        </w:rPr>
        <w:t>有60余门课程在省级平台上建成并投入教学应用，近30门课程加入浙江省共享课程清单，实现跨校选课。</w:t>
      </w:r>
    </w:p>
    <w:p>
      <w:pPr>
        <w:spacing w:line="400" w:lineRule="exact"/>
        <w:ind w:firstLine="456" w:firstLineChars="200"/>
        <w:rPr>
          <w:rFonts w:ascii="宋体" w:hAnsi="宋体" w:cs="宋体"/>
          <w:sz w:val="24"/>
        </w:rPr>
      </w:pPr>
      <w:r>
        <w:rPr>
          <w:rFonts w:hint="eastAsia" w:ascii="宋体" w:hAnsi="宋体" w:cs="宋体"/>
          <w:sz w:val="24"/>
        </w:rPr>
        <w:t>疫情防控时期，继续遵循“以人为本、整体部署分步推进、宏观把控分类施策”三项原则，贯彻落实“一院一案、一课一策”方针，根据疫情管控与专业特色要求，发布《2020-2021学年第一学期开学本科课堂教学工作安排》《关于2020-2021学年第二学期学生返校后教学执行方案》等一系列通知，有序开展线上线下混合教学。实际开出或引进的各种线上课程320门，占总开课门数的14.26%；共有1239位教师使用腾讯、超星、钉钉等教学平台进行线上授课，1万余名师生零疑似、零感染，学生线上学习人数累计294655人次，有效保障教学平稳运行。</w:t>
      </w:r>
    </w:p>
    <w:p>
      <w:pPr>
        <w:rPr>
          <w:rFonts w:ascii="黑体" w:hAnsi="黑体" w:eastAsia="黑体" w:cs="黑体"/>
          <w:sz w:val="28"/>
          <w:szCs w:val="28"/>
        </w:rPr>
      </w:pPr>
      <w:r>
        <w:rPr>
          <w:rFonts w:hint="eastAsia" w:ascii="黑体" w:hAnsi="黑体" w:eastAsia="黑体" w:cs="黑体"/>
          <w:sz w:val="28"/>
          <w:szCs w:val="28"/>
        </w:rPr>
        <w:t>（三）教材建设与选用</w:t>
      </w:r>
    </w:p>
    <w:p>
      <w:pPr>
        <w:widowControl/>
        <w:spacing w:line="400" w:lineRule="exact"/>
        <w:ind w:firstLine="456" w:firstLineChars="200"/>
        <w:rPr>
          <w:rFonts w:ascii="宋体" w:hAnsi="宋体" w:cs="宋体"/>
          <w:sz w:val="24"/>
        </w:rPr>
      </w:pPr>
      <w:r>
        <w:rPr>
          <w:rFonts w:hint="eastAsia" w:ascii="宋体" w:hAnsi="宋体" w:cs="宋体"/>
          <w:sz w:val="24"/>
        </w:rPr>
        <w:t>教材是学校教学的基本依据，是解决培养什么人、怎样培养人、为谁培养人这一根本问题的重要载</w:t>
      </w:r>
      <w:r>
        <w:rPr>
          <w:rFonts w:hint="eastAsia" w:ascii="宋体" w:hAnsi="宋体" w:cs="宋体"/>
          <w:color w:val="000000" w:themeColor="text1"/>
          <w:sz w:val="24"/>
          <w14:textFill>
            <w14:solidFill>
              <w14:schemeClr w14:val="tx1"/>
            </w14:solidFill>
          </w14:textFill>
        </w:rPr>
        <w:t>体，是党的教育方针落实和教育目标实现的坚强保障。2020-2021学年，获批省级“十三五”新形态教材4部，立项校级重点教材建设项目8项。截至2021年9月，学校共有国家级规划教材1部、省级重点建设教</w:t>
      </w:r>
      <w:r>
        <w:rPr>
          <w:rFonts w:hint="eastAsia" w:ascii="宋体" w:hAnsi="宋体" w:cs="宋体"/>
          <w:sz w:val="24"/>
        </w:rPr>
        <w:t>材15部、省级新形态建设教材11部、省级优秀教材4部、校级重点建设教材项目60项。</w:t>
      </w:r>
    </w:p>
    <w:p>
      <w:pPr>
        <w:adjustRightInd w:val="0"/>
        <w:snapToGrid w:val="0"/>
        <w:spacing w:line="400" w:lineRule="exact"/>
        <w:jc w:val="center"/>
        <w:rPr>
          <w:rFonts w:ascii="宋体" w:hAnsi="宋体" w:cs="宋体"/>
          <w:szCs w:val="21"/>
        </w:rPr>
      </w:pPr>
      <w:r>
        <w:rPr>
          <w:rFonts w:hint="eastAsia" w:ascii="宋体" w:hAnsi="宋体" w:cs="宋体"/>
          <w:b/>
          <w:kern w:val="0"/>
          <w:szCs w:val="21"/>
        </w:rPr>
        <w:t>表4  2020-2021学年本科教材建设项目一览表</w:t>
      </w:r>
    </w:p>
    <w:tbl>
      <w:tblPr>
        <w:tblStyle w:val="9"/>
        <w:tblW w:w="9258"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108" w:type="dxa"/>
          <w:bottom w:w="0" w:type="dxa"/>
          <w:right w:w="108" w:type="dxa"/>
        </w:tblCellMar>
      </w:tblPr>
      <w:tblGrid>
        <w:gridCol w:w="2429"/>
        <w:gridCol w:w="3608"/>
        <w:gridCol w:w="1760"/>
        <w:gridCol w:w="1461"/>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15" w:hRule="atLeast"/>
          <w:jc w:val="center"/>
        </w:trPr>
        <w:tc>
          <w:tcPr>
            <w:tcW w:w="2429" w:type="dxa"/>
            <w:tcBorders>
              <w:tl2br w:val="nil"/>
              <w:tr2bl w:val="nil"/>
            </w:tcBorders>
            <w:shd w:val="clear" w:color="auto" w:fill="auto"/>
            <w:vAlign w:val="center"/>
          </w:tcPr>
          <w:p>
            <w:pPr>
              <w:widowControl/>
              <w:spacing w:line="400" w:lineRule="exact"/>
              <w:jc w:val="center"/>
              <w:textAlignment w:val="center"/>
              <w:rPr>
                <w:rFonts w:ascii="黑体" w:hAnsi="黑体" w:eastAsia="黑体" w:cs="黑体"/>
                <w:color w:val="000000"/>
                <w:szCs w:val="21"/>
              </w:rPr>
            </w:pPr>
            <w:r>
              <w:rPr>
                <w:rFonts w:hint="eastAsia" w:ascii="黑体" w:hAnsi="黑体" w:eastAsia="黑体" w:cs="黑体"/>
                <w:color w:val="000000"/>
                <w:kern w:val="0"/>
                <w:szCs w:val="21"/>
                <w:lang w:bidi="ar"/>
              </w:rPr>
              <w:t>级别</w:t>
            </w:r>
          </w:p>
        </w:tc>
        <w:tc>
          <w:tcPr>
            <w:tcW w:w="3608" w:type="dxa"/>
            <w:tcBorders>
              <w:tl2br w:val="nil"/>
              <w:tr2bl w:val="nil"/>
            </w:tcBorders>
            <w:shd w:val="clear" w:color="auto" w:fill="auto"/>
            <w:vAlign w:val="center"/>
          </w:tcPr>
          <w:p>
            <w:pPr>
              <w:widowControl/>
              <w:spacing w:line="400" w:lineRule="exact"/>
              <w:jc w:val="center"/>
              <w:textAlignment w:val="center"/>
              <w:rPr>
                <w:rFonts w:ascii="黑体" w:hAnsi="黑体" w:eastAsia="黑体" w:cs="黑体"/>
                <w:color w:val="000000"/>
                <w:szCs w:val="21"/>
              </w:rPr>
            </w:pPr>
            <w:r>
              <w:rPr>
                <w:rFonts w:hint="eastAsia" w:ascii="黑体" w:hAnsi="黑体" w:eastAsia="黑体" w:cs="黑体"/>
                <w:color w:val="000000"/>
                <w:kern w:val="0"/>
                <w:szCs w:val="21"/>
                <w:lang w:bidi="ar"/>
              </w:rPr>
              <w:t>名称</w:t>
            </w:r>
          </w:p>
        </w:tc>
        <w:tc>
          <w:tcPr>
            <w:tcW w:w="1760" w:type="dxa"/>
            <w:tcBorders>
              <w:tl2br w:val="nil"/>
              <w:tr2bl w:val="nil"/>
            </w:tcBorders>
            <w:shd w:val="clear" w:color="auto" w:fill="auto"/>
            <w:vAlign w:val="center"/>
          </w:tcPr>
          <w:p>
            <w:pPr>
              <w:widowControl/>
              <w:spacing w:line="400" w:lineRule="exact"/>
              <w:jc w:val="center"/>
              <w:textAlignment w:val="center"/>
              <w:rPr>
                <w:rFonts w:ascii="黑体" w:hAnsi="黑体" w:eastAsia="黑体" w:cs="黑体"/>
                <w:color w:val="000000"/>
                <w:szCs w:val="21"/>
              </w:rPr>
            </w:pPr>
            <w:r>
              <w:rPr>
                <w:rFonts w:hint="eastAsia" w:ascii="黑体" w:hAnsi="黑体" w:eastAsia="黑体" w:cs="黑体"/>
                <w:color w:val="000000"/>
                <w:kern w:val="0"/>
                <w:szCs w:val="21"/>
                <w:lang w:bidi="ar"/>
              </w:rPr>
              <w:t>主编</w:t>
            </w:r>
          </w:p>
        </w:tc>
        <w:tc>
          <w:tcPr>
            <w:tcW w:w="1461" w:type="dxa"/>
            <w:tcBorders>
              <w:tl2br w:val="nil"/>
              <w:tr2bl w:val="nil"/>
            </w:tcBorders>
            <w:shd w:val="clear" w:color="auto" w:fill="auto"/>
            <w:vAlign w:val="center"/>
          </w:tcPr>
          <w:p>
            <w:pPr>
              <w:widowControl/>
              <w:spacing w:line="400" w:lineRule="exact"/>
              <w:jc w:val="center"/>
              <w:textAlignment w:val="center"/>
              <w:rPr>
                <w:rFonts w:ascii="黑体" w:hAnsi="黑体" w:eastAsia="黑体" w:cs="黑体"/>
                <w:color w:val="000000"/>
                <w:szCs w:val="21"/>
              </w:rPr>
            </w:pPr>
            <w:r>
              <w:rPr>
                <w:rFonts w:hint="eastAsia" w:ascii="黑体" w:hAnsi="黑体" w:eastAsia="黑体" w:cs="黑体"/>
                <w:color w:val="000000"/>
                <w:kern w:val="0"/>
                <w:szCs w:val="21"/>
                <w:lang w:bidi="ar"/>
              </w:rPr>
              <w:t>立项时间</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2429" w:type="dxa"/>
            <w:tcBorders>
              <w:tl2br w:val="nil"/>
              <w:tr2bl w:val="nil"/>
            </w:tcBorders>
            <w:shd w:val="clear" w:color="auto" w:fill="auto"/>
            <w:vAlign w:val="center"/>
          </w:tcPr>
          <w:p>
            <w:pPr>
              <w:widowControl/>
              <w:spacing w:line="400" w:lineRule="exact"/>
              <w:jc w:val="center"/>
              <w:textAlignment w:val="center"/>
              <w:rPr>
                <w:rFonts w:ascii="宋体" w:hAnsi="宋体" w:cs="宋体"/>
                <w:color w:val="000000"/>
                <w:szCs w:val="21"/>
              </w:rPr>
            </w:pPr>
            <w:r>
              <w:rPr>
                <w:rFonts w:hint="eastAsia" w:ascii="宋体" w:hAnsi="宋体" w:cs="宋体"/>
                <w:color w:val="000000"/>
                <w:kern w:val="0"/>
                <w:szCs w:val="21"/>
                <w:lang w:bidi="ar"/>
              </w:rPr>
              <w:t>十三五省新形态教材</w:t>
            </w:r>
          </w:p>
        </w:tc>
        <w:tc>
          <w:tcPr>
            <w:tcW w:w="3608" w:type="dxa"/>
            <w:tcBorders>
              <w:tl2br w:val="nil"/>
              <w:tr2bl w:val="nil"/>
            </w:tcBorders>
            <w:shd w:val="clear" w:color="auto" w:fill="auto"/>
            <w:vAlign w:val="center"/>
          </w:tcPr>
          <w:p>
            <w:pPr>
              <w:widowControl/>
              <w:spacing w:line="400" w:lineRule="exact"/>
              <w:jc w:val="center"/>
              <w:textAlignment w:val="center"/>
              <w:rPr>
                <w:rFonts w:ascii="宋体" w:hAnsi="宋体" w:cs="宋体"/>
                <w:color w:val="000000"/>
                <w:szCs w:val="21"/>
              </w:rPr>
            </w:pPr>
            <w:r>
              <w:rPr>
                <w:rFonts w:hint="eastAsia" w:ascii="宋体" w:hAnsi="宋体" w:cs="宋体"/>
                <w:color w:val="000000"/>
                <w:kern w:val="0"/>
                <w:szCs w:val="21"/>
                <w:lang w:bidi="ar"/>
              </w:rPr>
              <w:t>小学英语教学设计：理论与实践</w:t>
            </w:r>
          </w:p>
        </w:tc>
        <w:tc>
          <w:tcPr>
            <w:tcW w:w="1760" w:type="dxa"/>
            <w:tcBorders>
              <w:tl2br w:val="nil"/>
              <w:tr2bl w:val="nil"/>
            </w:tcBorders>
            <w:shd w:val="clear" w:color="auto" w:fill="auto"/>
            <w:vAlign w:val="center"/>
          </w:tcPr>
          <w:p>
            <w:pPr>
              <w:widowControl/>
              <w:spacing w:line="400" w:lineRule="exact"/>
              <w:jc w:val="center"/>
              <w:textAlignment w:val="center"/>
              <w:rPr>
                <w:rFonts w:ascii="宋体" w:hAnsi="宋体" w:cs="宋体"/>
                <w:color w:val="000000"/>
                <w:szCs w:val="21"/>
              </w:rPr>
            </w:pPr>
            <w:r>
              <w:rPr>
                <w:rFonts w:hint="eastAsia" w:ascii="宋体" w:hAnsi="宋体" w:cs="宋体"/>
                <w:color w:val="000000"/>
                <w:kern w:val="0"/>
                <w:szCs w:val="21"/>
                <w:lang w:bidi="ar"/>
              </w:rPr>
              <w:t>方  玺</w:t>
            </w:r>
          </w:p>
        </w:tc>
        <w:tc>
          <w:tcPr>
            <w:tcW w:w="1461" w:type="dxa"/>
            <w:tcBorders>
              <w:tl2br w:val="nil"/>
              <w:tr2bl w:val="nil"/>
            </w:tcBorders>
            <w:shd w:val="clear" w:color="auto" w:fill="auto"/>
            <w:vAlign w:val="center"/>
          </w:tcPr>
          <w:p>
            <w:pPr>
              <w:widowControl/>
              <w:spacing w:line="400" w:lineRule="exact"/>
              <w:jc w:val="center"/>
              <w:textAlignment w:val="center"/>
              <w:rPr>
                <w:rFonts w:ascii="宋体" w:hAnsi="宋体" w:cs="宋体"/>
                <w:color w:val="000000"/>
                <w:szCs w:val="21"/>
              </w:rPr>
            </w:pPr>
            <w:r>
              <w:rPr>
                <w:rFonts w:hint="eastAsia" w:ascii="宋体" w:hAnsi="宋体" w:cs="宋体"/>
                <w:color w:val="000000"/>
                <w:kern w:val="0"/>
                <w:szCs w:val="21"/>
                <w:lang w:bidi="ar"/>
              </w:rPr>
              <w:t>2020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2429" w:type="dxa"/>
            <w:tcBorders>
              <w:tl2br w:val="nil"/>
              <w:tr2bl w:val="nil"/>
            </w:tcBorders>
            <w:shd w:val="clear" w:color="auto" w:fill="auto"/>
            <w:vAlign w:val="center"/>
          </w:tcPr>
          <w:p>
            <w:pPr>
              <w:widowControl/>
              <w:spacing w:line="400" w:lineRule="exact"/>
              <w:jc w:val="center"/>
              <w:textAlignment w:val="center"/>
              <w:rPr>
                <w:rFonts w:ascii="宋体" w:hAnsi="宋体" w:cs="宋体"/>
                <w:color w:val="000000"/>
                <w:szCs w:val="21"/>
              </w:rPr>
            </w:pPr>
            <w:r>
              <w:rPr>
                <w:rFonts w:hint="eastAsia" w:ascii="宋体" w:hAnsi="宋体" w:cs="宋体"/>
                <w:color w:val="000000"/>
                <w:kern w:val="0"/>
                <w:szCs w:val="21"/>
                <w:lang w:bidi="ar"/>
              </w:rPr>
              <w:t>十三五省新形态教材</w:t>
            </w:r>
          </w:p>
        </w:tc>
        <w:tc>
          <w:tcPr>
            <w:tcW w:w="3608" w:type="dxa"/>
            <w:tcBorders>
              <w:tl2br w:val="nil"/>
              <w:tr2bl w:val="nil"/>
            </w:tcBorders>
            <w:shd w:val="clear" w:color="auto" w:fill="auto"/>
            <w:vAlign w:val="center"/>
          </w:tcPr>
          <w:p>
            <w:pPr>
              <w:widowControl/>
              <w:spacing w:line="400" w:lineRule="exact"/>
              <w:jc w:val="center"/>
              <w:textAlignment w:val="center"/>
              <w:rPr>
                <w:rFonts w:ascii="宋体" w:hAnsi="宋体" w:cs="宋体"/>
                <w:color w:val="000000"/>
                <w:szCs w:val="21"/>
              </w:rPr>
            </w:pPr>
            <w:r>
              <w:rPr>
                <w:rFonts w:hint="eastAsia" w:ascii="宋体" w:hAnsi="宋体" w:cs="宋体"/>
                <w:color w:val="000000"/>
                <w:kern w:val="0"/>
                <w:szCs w:val="21"/>
                <w:lang w:bidi="ar"/>
              </w:rPr>
              <w:t>Animate交互动画课件设计与制作</w:t>
            </w:r>
          </w:p>
        </w:tc>
        <w:tc>
          <w:tcPr>
            <w:tcW w:w="1760" w:type="dxa"/>
            <w:tcBorders>
              <w:tl2br w:val="nil"/>
              <w:tr2bl w:val="nil"/>
            </w:tcBorders>
            <w:shd w:val="clear" w:color="auto" w:fill="auto"/>
            <w:vAlign w:val="center"/>
          </w:tcPr>
          <w:p>
            <w:pPr>
              <w:widowControl/>
              <w:spacing w:line="400" w:lineRule="exact"/>
              <w:jc w:val="center"/>
              <w:textAlignment w:val="center"/>
              <w:rPr>
                <w:rFonts w:ascii="宋体" w:hAnsi="宋体" w:cs="宋体"/>
                <w:color w:val="000000"/>
                <w:szCs w:val="21"/>
              </w:rPr>
            </w:pPr>
            <w:r>
              <w:rPr>
                <w:rFonts w:hint="eastAsia" w:ascii="宋体" w:hAnsi="宋体" w:cs="宋体"/>
                <w:color w:val="000000"/>
                <w:kern w:val="0"/>
                <w:szCs w:val="21"/>
                <w:lang w:bidi="ar"/>
              </w:rPr>
              <w:t>邱相彬</w:t>
            </w:r>
          </w:p>
        </w:tc>
        <w:tc>
          <w:tcPr>
            <w:tcW w:w="1461" w:type="dxa"/>
            <w:tcBorders>
              <w:tl2br w:val="nil"/>
              <w:tr2bl w:val="nil"/>
            </w:tcBorders>
            <w:shd w:val="clear" w:color="auto" w:fill="auto"/>
            <w:vAlign w:val="center"/>
          </w:tcPr>
          <w:p>
            <w:pPr>
              <w:widowControl/>
              <w:spacing w:line="400" w:lineRule="exact"/>
              <w:jc w:val="center"/>
              <w:textAlignment w:val="center"/>
              <w:rPr>
                <w:rFonts w:ascii="宋体" w:hAnsi="宋体" w:cs="宋体"/>
                <w:color w:val="000000"/>
                <w:szCs w:val="21"/>
              </w:rPr>
            </w:pPr>
            <w:r>
              <w:rPr>
                <w:rFonts w:hint="eastAsia" w:ascii="宋体" w:hAnsi="宋体" w:cs="宋体"/>
                <w:color w:val="000000"/>
                <w:kern w:val="0"/>
                <w:szCs w:val="21"/>
                <w:lang w:bidi="ar"/>
              </w:rPr>
              <w:t>2020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2429" w:type="dxa"/>
            <w:tcBorders>
              <w:tl2br w:val="nil"/>
              <w:tr2bl w:val="nil"/>
            </w:tcBorders>
            <w:shd w:val="clear" w:color="auto" w:fill="auto"/>
            <w:vAlign w:val="center"/>
          </w:tcPr>
          <w:p>
            <w:pPr>
              <w:widowControl/>
              <w:spacing w:line="400" w:lineRule="exact"/>
              <w:jc w:val="center"/>
              <w:textAlignment w:val="center"/>
              <w:rPr>
                <w:rFonts w:ascii="宋体" w:hAnsi="宋体" w:cs="宋体"/>
                <w:color w:val="000000"/>
                <w:szCs w:val="21"/>
              </w:rPr>
            </w:pPr>
            <w:r>
              <w:rPr>
                <w:rFonts w:hint="eastAsia" w:ascii="宋体" w:hAnsi="宋体" w:cs="宋体"/>
                <w:color w:val="000000"/>
                <w:kern w:val="0"/>
                <w:szCs w:val="21"/>
                <w:lang w:bidi="ar"/>
              </w:rPr>
              <w:t>十三五省新形态教材</w:t>
            </w:r>
          </w:p>
        </w:tc>
        <w:tc>
          <w:tcPr>
            <w:tcW w:w="3608" w:type="dxa"/>
            <w:tcBorders>
              <w:tl2br w:val="nil"/>
              <w:tr2bl w:val="nil"/>
            </w:tcBorders>
            <w:shd w:val="clear" w:color="auto" w:fill="auto"/>
            <w:vAlign w:val="center"/>
          </w:tcPr>
          <w:p>
            <w:pPr>
              <w:widowControl/>
              <w:spacing w:line="400" w:lineRule="exact"/>
              <w:jc w:val="center"/>
              <w:textAlignment w:val="center"/>
              <w:rPr>
                <w:rFonts w:ascii="宋体" w:hAnsi="宋体" w:cs="宋体"/>
                <w:color w:val="000000"/>
                <w:szCs w:val="21"/>
              </w:rPr>
            </w:pPr>
            <w:r>
              <w:rPr>
                <w:rFonts w:hint="eastAsia" w:ascii="宋体" w:hAnsi="宋体" w:cs="宋体"/>
                <w:color w:val="000000"/>
                <w:kern w:val="0"/>
                <w:szCs w:val="21"/>
                <w:lang w:bidi="ar"/>
              </w:rPr>
              <w:t>国学智慧与君子人格修养</w:t>
            </w:r>
          </w:p>
        </w:tc>
        <w:tc>
          <w:tcPr>
            <w:tcW w:w="1760" w:type="dxa"/>
            <w:tcBorders>
              <w:tl2br w:val="nil"/>
              <w:tr2bl w:val="nil"/>
            </w:tcBorders>
            <w:shd w:val="clear" w:color="auto" w:fill="auto"/>
            <w:vAlign w:val="center"/>
          </w:tcPr>
          <w:p>
            <w:pPr>
              <w:widowControl/>
              <w:spacing w:line="400" w:lineRule="exact"/>
              <w:jc w:val="center"/>
              <w:textAlignment w:val="center"/>
              <w:rPr>
                <w:rFonts w:ascii="宋体" w:hAnsi="宋体" w:cs="宋体"/>
                <w:color w:val="000000"/>
                <w:szCs w:val="21"/>
              </w:rPr>
            </w:pPr>
            <w:r>
              <w:rPr>
                <w:rFonts w:hint="eastAsia" w:ascii="宋体" w:hAnsi="宋体" w:cs="宋体"/>
                <w:color w:val="000000"/>
                <w:kern w:val="0"/>
                <w:szCs w:val="21"/>
                <w:lang w:bidi="ar"/>
              </w:rPr>
              <w:t>潘明福</w:t>
            </w:r>
          </w:p>
        </w:tc>
        <w:tc>
          <w:tcPr>
            <w:tcW w:w="1461" w:type="dxa"/>
            <w:tcBorders>
              <w:tl2br w:val="nil"/>
              <w:tr2bl w:val="nil"/>
            </w:tcBorders>
            <w:shd w:val="clear" w:color="auto" w:fill="auto"/>
            <w:vAlign w:val="center"/>
          </w:tcPr>
          <w:p>
            <w:pPr>
              <w:widowControl/>
              <w:spacing w:line="400" w:lineRule="exact"/>
              <w:jc w:val="center"/>
              <w:textAlignment w:val="center"/>
              <w:rPr>
                <w:rFonts w:ascii="宋体" w:hAnsi="宋体" w:cs="宋体"/>
                <w:color w:val="000000"/>
                <w:szCs w:val="21"/>
              </w:rPr>
            </w:pPr>
            <w:r>
              <w:rPr>
                <w:rFonts w:hint="eastAsia" w:ascii="宋体" w:hAnsi="宋体" w:cs="宋体"/>
                <w:color w:val="000000"/>
                <w:kern w:val="0"/>
                <w:szCs w:val="21"/>
                <w:lang w:bidi="ar"/>
              </w:rPr>
              <w:t>2020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2429" w:type="dxa"/>
            <w:tcBorders>
              <w:tl2br w:val="nil"/>
              <w:tr2bl w:val="nil"/>
            </w:tcBorders>
            <w:shd w:val="clear" w:color="auto" w:fill="auto"/>
            <w:vAlign w:val="center"/>
          </w:tcPr>
          <w:p>
            <w:pPr>
              <w:widowControl/>
              <w:spacing w:line="400" w:lineRule="exact"/>
              <w:jc w:val="center"/>
              <w:textAlignment w:val="center"/>
              <w:rPr>
                <w:rFonts w:ascii="宋体" w:hAnsi="宋体" w:cs="宋体"/>
                <w:color w:val="000000"/>
                <w:szCs w:val="21"/>
              </w:rPr>
            </w:pPr>
            <w:r>
              <w:rPr>
                <w:rFonts w:hint="eastAsia" w:ascii="宋体" w:hAnsi="宋体" w:cs="宋体"/>
                <w:color w:val="000000"/>
                <w:kern w:val="0"/>
                <w:szCs w:val="21"/>
                <w:lang w:bidi="ar"/>
              </w:rPr>
              <w:t>十三五省新形态教材</w:t>
            </w:r>
          </w:p>
        </w:tc>
        <w:tc>
          <w:tcPr>
            <w:tcW w:w="3608" w:type="dxa"/>
            <w:tcBorders>
              <w:tl2br w:val="nil"/>
              <w:tr2bl w:val="nil"/>
            </w:tcBorders>
            <w:shd w:val="clear" w:color="auto" w:fill="auto"/>
            <w:vAlign w:val="center"/>
          </w:tcPr>
          <w:p>
            <w:pPr>
              <w:widowControl/>
              <w:spacing w:line="400" w:lineRule="exact"/>
              <w:jc w:val="center"/>
              <w:textAlignment w:val="center"/>
              <w:rPr>
                <w:rFonts w:ascii="宋体" w:hAnsi="宋体" w:cs="宋体"/>
                <w:color w:val="000000"/>
                <w:szCs w:val="21"/>
              </w:rPr>
            </w:pPr>
            <w:r>
              <w:rPr>
                <w:rFonts w:hint="eastAsia" w:ascii="宋体" w:hAnsi="宋体" w:cs="宋体"/>
                <w:color w:val="000000"/>
                <w:kern w:val="0"/>
                <w:szCs w:val="21"/>
                <w:lang w:bidi="ar"/>
              </w:rPr>
              <w:t>机械CAD基础</w:t>
            </w:r>
          </w:p>
        </w:tc>
        <w:tc>
          <w:tcPr>
            <w:tcW w:w="1760" w:type="dxa"/>
            <w:tcBorders>
              <w:tl2br w:val="nil"/>
              <w:tr2bl w:val="nil"/>
            </w:tcBorders>
            <w:shd w:val="clear" w:color="auto" w:fill="auto"/>
            <w:vAlign w:val="center"/>
          </w:tcPr>
          <w:p>
            <w:pPr>
              <w:widowControl/>
              <w:spacing w:line="400" w:lineRule="exact"/>
              <w:jc w:val="center"/>
              <w:textAlignment w:val="center"/>
              <w:rPr>
                <w:rFonts w:ascii="宋体" w:hAnsi="宋体" w:cs="宋体"/>
                <w:color w:val="000000"/>
                <w:szCs w:val="21"/>
              </w:rPr>
            </w:pPr>
            <w:r>
              <w:rPr>
                <w:rFonts w:hint="eastAsia" w:ascii="宋体" w:hAnsi="宋体" w:cs="宋体"/>
                <w:color w:val="000000"/>
                <w:kern w:val="0"/>
                <w:szCs w:val="21"/>
                <w:lang w:bidi="ar"/>
              </w:rPr>
              <w:t>徐云杰</w:t>
            </w:r>
          </w:p>
        </w:tc>
        <w:tc>
          <w:tcPr>
            <w:tcW w:w="1461" w:type="dxa"/>
            <w:tcBorders>
              <w:tl2br w:val="nil"/>
              <w:tr2bl w:val="nil"/>
            </w:tcBorders>
            <w:shd w:val="clear" w:color="auto" w:fill="auto"/>
            <w:vAlign w:val="center"/>
          </w:tcPr>
          <w:p>
            <w:pPr>
              <w:widowControl/>
              <w:spacing w:line="400" w:lineRule="exact"/>
              <w:jc w:val="center"/>
              <w:textAlignment w:val="center"/>
              <w:rPr>
                <w:rFonts w:ascii="宋体" w:hAnsi="宋体" w:cs="宋体"/>
                <w:color w:val="000000"/>
                <w:szCs w:val="21"/>
              </w:rPr>
            </w:pPr>
            <w:r>
              <w:rPr>
                <w:rFonts w:hint="eastAsia" w:ascii="宋体" w:hAnsi="宋体" w:cs="宋体"/>
                <w:color w:val="000000"/>
                <w:kern w:val="0"/>
                <w:szCs w:val="21"/>
                <w:lang w:bidi="ar"/>
              </w:rPr>
              <w:t>2020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2429" w:type="dxa"/>
            <w:tcBorders>
              <w:tl2br w:val="nil"/>
              <w:tr2bl w:val="nil"/>
            </w:tcBorders>
            <w:shd w:val="clear" w:color="auto" w:fill="auto"/>
            <w:vAlign w:val="center"/>
          </w:tcPr>
          <w:p>
            <w:pPr>
              <w:widowControl/>
              <w:spacing w:line="400" w:lineRule="exact"/>
              <w:jc w:val="center"/>
              <w:textAlignment w:val="center"/>
              <w:rPr>
                <w:rFonts w:ascii="宋体" w:hAnsi="宋体" w:cs="宋体"/>
                <w:color w:val="000000"/>
                <w:szCs w:val="21"/>
              </w:rPr>
            </w:pPr>
            <w:r>
              <w:rPr>
                <w:rFonts w:hint="eastAsia" w:ascii="宋体" w:hAnsi="宋体" w:cs="宋体"/>
                <w:color w:val="000000"/>
                <w:kern w:val="0"/>
                <w:szCs w:val="21"/>
                <w:lang w:bidi="ar"/>
              </w:rPr>
              <w:t>校重点教材</w:t>
            </w:r>
          </w:p>
        </w:tc>
        <w:tc>
          <w:tcPr>
            <w:tcW w:w="3608" w:type="dxa"/>
            <w:tcBorders>
              <w:tl2br w:val="nil"/>
              <w:tr2bl w:val="nil"/>
            </w:tcBorders>
            <w:shd w:val="clear" w:color="auto" w:fill="auto"/>
            <w:vAlign w:val="center"/>
          </w:tcPr>
          <w:p>
            <w:pPr>
              <w:widowControl/>
              <w:spacing w:line="400" w:lineRule="exact"/>
              <w:jc w:val="center"/>
              <w:textAlignment w:val="center"/>
              <w:rPr>
                <w:rFonts w:ascii="宋体" w:hAnsi="宋体" w:cs="宋体"/>
                <w:color w:val="000000"/>
                <w:szCs w:val="21"/>
              </w:rPr>
            </w:pPr>
            <w:r>
              <w:rPr>
                <w:rFonts w:hint="eastAsia" w:ascii="宋体" w:hAnsi="宋体" w:cs="宋体"/>
                <w:color w:val="000000"/>
                <w:kern w:val="0"/>
                <w:szCs w:val="21"/>
                <w:lang w:bidi="ar"/>
              </w:rPr>
              <w:t>学前教育课程</w:t>
            </w:r>
          </w:p>
        </w:tc>
        <w:tc>
          <w:tcPr>
            <w:tcW w:w="1760" w:type="dxa"/>
            <w:tcBorders>
              <w:tl2br w:val="nil"/>
              <w:tr2bl w:val="nil"/>
            </w:tcBorders>
            <w:shd w:val="clear" w:color="auto" w:fill="auto"/>
            <w:vAlign w:val="center"/>
          </w:tcPr>
          <w:p>
            <w:pPr>
              <w:widowControl/>
              <w:spacing w:line="400" w:lineRule="exact"/>
              <w:jc w:val="center"/>
              <w:textAlignment w:val="center"/>
              <w:rPr>
                <w:rFonts w:ascii="宋体" w:hAnsi="宋体" w:cs="宋体"/>
                <w:color w:val="000000"/>
                <w:szCs w:val="21"/>
              </w:rPr>
            </w:pPr>
            <w:r>
              <w:rPr>
                <w:rFonts w:hint="eastAsia" w:ascii="宋体" w:hAnsi="宋体" w:cs="宋体"/>
                <w:color w:val="000000"/>
                <w:kern w:val="0"/>
                <w:szCs w:val="21"/>
                <w:lang w:bidi="ar"/>
              </w:rPr>
              <w:t>赵海燕</w:t>
            </w:r>
          </w:p>
        </w:tc>
        <w:tc>
          <w:tcPr>
            <w:tcW w:w="1461" w:type="dxa"/>
            <w:tcBorders>
              <w:tl2br w:val="nil"/>
              <w:tr2bl w:val="nil"/>
            </w:tcBorders>
            <w:shd w:val="clear" w:color="auto" w:fill="auto"/>
            <w:vAlign w:val="center"/>
          </w:tcPr>
          <w:p>
            <w:pPr>
              <w:widowControl/>
              <w:spacing w:line="400" w:lineRule="exact"/>
              <w:jc w:val="center"/>
              <w:textAlignment w:val="center"/>
              <w:rPr>
                <w:rFonts w:ascii="宋体" w:hAnsi="宋体" w:cs="宋体"/>
                <w:color w:val="000000"/>
                <w:szCs w:val="21"/>
              </w:rPr>
            </w:pPr>
            <w:r>
              <w:rPr>
                <w:rFonts w:hint="eastAsia" w:ascii="宋体" w:hAnsi="宋体" w:cs="宋体"/>
                <w:color w:val="000000"/>
                <w:kern w:val="0"/>
                <w:szCs w:val="21"/>
                <w:lang w:bidi="ar"/>
              </w:rPr>
              <w:t>2021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2429" w:type="dxa"/>
            <w:tcBorders>
              <w:tl2br w:val="nil"/>
              <w:tr2bl w:val="nil"/>
            </w:tcBorders>
            <w:shd w:val="clear" w:color="auto" w:fill="auto"/>
            <w:vAlign w:val="center"/>
          </w:tcPr>
          <w:p>
            <w:pPr>
              <w:widowControl/>
              <w:spacing w:line="400" w:lineRule="exact"/>
              <w:jc w:val="center"/>
              <w:textAlignment w:val="center"/>
              <w:rPr>
                <w:rFonts w:ascii="宋体" w:hAnsi="宋体" w:cs="宋体"/>
                <w:color w:val="000000"/>
                <w:szCs w:val="21"/>
              </w:rPr>
            </w:pPr>
            <w:r>
              <w:rPr>
                <w:rFonts w:hint="eastAsia" w:ascii="宋体" w:hAnsi="宋体" w:cs="宋体"/>
                <w:color w:val="000000"/>
                <w:kern w:val="0"/>
                <w:szCs w:val="21"/>
                <w:lang w:bidi="ar"/>
              </w:rPr>
              <w:t>校重点教材</w:t>
            </w:r>
          </w:p>
        </w:tc>
        <w:tc>
          <w:tcPr>
            <w:tcW w:w="3608" w:type="dxa"/>
            <w:tcBorders>
              <w:tl2br w:val="nil"/>
              <w:tr2bl w:val="nil"/>
            </w:tcBorders>
            <w:shd w:val="clear" w:color="auto" w:fill="auto"/>
            <w:vAlign w:val="center"/>
          </w:tcPr>
          <w:p>
            <w:pPr>
              <w:widowControl/>
              <w:spacing w:line="400" w:lineRule="exact"/>
              <w:jc w:val="center"/>
              <w:textAlignment w:val="center"/>
              <w:rPr>
                <w:rFonts w:ascii="宋体" w:hAnsi="宋体" w:cs="宋体"/>
                <w:color w:val="000000"/>
                <w:szCs w:val="21"/>
              </w:rPr>
            </w:pPr>
            <w:r>
              <w:rPr>
                <w:rFonts w:hint="eastAsia" w:ascii="宋体" w:hAnsi="宋体" w:cs="宋体"/>
                <w:color w:val="000000"/>
                <w:kern w:val="0"/>
                <w:szCs w:val="21"/>
                <w:lang w:bidi="ar"/>
              </w:rPr>
              <w:t>心理学基础</w:t>
            </w:r>
          </w:p>
        </w:tc>
        <w:tc>
          <w:tcPr>
            <w:tcW w:w="1760" w:type="dxa"/>
            <w:tcBorders>
              <w:tl2br w:val="nil"/>
              <w:tr2bl w:val="nil"/>
            </w:tcBorders>
            <w:shd w:val="clear" w:color="auto" w:fill="auto"/>
            <w:vAlign w:val="center"/>
          </w:tcPr>
          <w:p>
            <w:pPr>
              <w:widowControl/>
              <w:spacing w:line="400" w:lineRule="exact"/>
              <w:jc w:val="center"/>
              <w:textAlignment w:val="center"/>
              <w:rPr>
                <w:rFonts w:ascii="宋体" w:hAnsi="宋体" w:cs="宋体"/>
                <w:color w:val="000000"/>
                <w:szCs w:val="21"/>
              </w:rPr>
            </w:pPr>
            <w:r>
              <w:rPr>
                <w:rFonts w:hint="eastAsia" w:ascii="宋体" w:hAnsi="宋体" w:cs="宋体"/>
                <w:color w:val="000000"/>
                <w:kern w:val="0"/>
                <w:szCs w:val="21"/>
                <w:lang w:bidi="ar"/>
              </w:rPr>
              <w:t>李  真</w:t>
            </w:r>
          </w:p>
        </w:tc>
        <w:tc>
          <w:tcPr>
            <w:tcW w:w="1461" w:type="dxa"/>
            <w:tcBorders>
              <w:tl2br w:val="nil"/>
              <w:tr2bl w:val="nil"/>
            </w:tcBorders>
            <w:shd w:val="clear" w:color="auto" w:fill="auto"/>
            <w:vAlign w:val="center"/>
          </w:tcPr>
          <w:p>
            <w:pPr>
              <w:widowControl/>
              <w:spacing w:line="400" w:lineRule="exact"/>
              <w:jc w:val="center"/>
              <w:textAlignment w:val="center"/>
              <w:rPr>
                <w:rFonts w:ascii="宋体" w:hAnsi="宋体" w:cs="宋体"/>
                <w:color w:val="000000"/>
                <w:szCs w:val="21"/>
              </w:rPr>
            </w:pPr>
            <w:r>
              <w:rPr>
                <w:rFonts w:hint="eastAsia" w:ascii="宋体" w:hAnsi="宋体" w:cs="宋体"/>
                <w:color w:val="000000"/>
                <w:kern w:val="0"/>
                <w:szCs w:val="21"/>
                <w:lang w:bidi="ar"/>
              </w:rPr>
              <w:t>2021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2429" w:type="dxa"/>
            <w:tcBorders>
              <w:tl2br w:val="nil"/>
              <w:tr2bl w:val="nil"/>
            </w:tcBorders>
            <w:shd w:val="clear" w:color="auto" w:fill="auto"/>
            <w:vAlign w:val="center"/>
          </w:tcPr>
          <w:p>
            <w:pPr>
              <w:widowControl/>
              <w:spacing w:line="400" w:lineRule="exact"/>
              <w:jc w:val="center"/>
              <w:textAlignment w:val="center"/>
              <w:rPr>
                <w:rFonts w:ascii="宋体" w:hAnsi="宋体" w:cs="宋体"/>
                <w:color w:val="000000"/>
                <w:szCs w:val="21"/>
              </w:rPr>
            </w:pPr>
            <w:r>
              <w:rPr>
                <w:rFonts w:hint="eastAsia" w:ascii="宋体" w:hAnsi="宋体" w:cs="宋体"/>
                <w:color w:val="000000"/>
                <w:kern w:val="0"/>
                <w:szCs w:val="21"/>
                <w:lang w:bidi="ar"/>
              </w:rPr>
              <w:t>校重点教材</w:t>
            </w:r>
          </w:p>
        </w:tc>
        <w:tc>
          <w:tcPr>
            <w:tcW w:w="3608" w:type="dxa"/>
            <w:tcBorders>
              <w:tl2br w:val="nil"/>
              <w:tr2bl w:val="nil"/>
            </w:tcBorders>
            <w:shd w:val="clear" w:color="auto" w:fill="auto"/>
            <w:vAlign w:val="center"/>
          </w:tcPr>
          <w:p>
            <w:pPr>
              <w:widowControl/>
              <w:spacing w:line="400" w:lineRule="exact"/>
              <w:jc w:val="center"/>
              <w:textAlignment w:val="center"/>
              <w:rPr>
                <w:rFonts w:ascii="宋体" w:hAnsi="宋体" w:cs="宋体"/>
                <w:color w:val="000000"/>
                <w:szCs w:val="21"/>
              </w:rPr>
            </w:pPr>
            <w:r>
              <w:rPr>
                <w:rFonts w:hint="eastAsia" w:ascii="宋体" w:hAnsi="宋体" w:cs="宋体"/>
                <w:color w:val="000000"/>
                <w:kern w:val="0"/>
                <w:szCs w:val="21"/>
                <w:lang w:bidi="ar"/>
              </w:rPr>
              <w:t>英语文化读写基础</w:t>
            </w:r>
          </w:p>
        </w:tc>
        <w:tc>
          <w:tcPr>
            <w:tcW w:w="1760" w:type="dxa"/>
            <w:tcBorders>
              <w:tl2br w:val="nil"/>
              <w:tr2bl w:val="nil"/>
            </w:tcBorders>
            <w:shd w:val="clear" w:color="auto" w:fill="auto"/>
            <w:vAlign w:val="center"/>
          </w:tcPr>
          <w:p>
            <w:pPr>
              <w:widowControl/>
              <w:spacing w:line="400" w:lineRule="exact"/>
              <w:jc w:val="center"/>
              <w:textAlignment w:val="center"/>
              <w:rPr>
                <w:rFonts w:ascii="宋体" w:hAnsi="宋体" w:cs="宋体"/>
                <w:color w:val="000000"/>
                <w:szCs w:val="21"/>
              </w:rPr>
            </w:pPr>
            <w:r>
              <w:rPr>
                <w:rFonts w:hint="eastAsia" w:ascii="宋体" w:hAnsi="宋体" w:cs="宋体"/>
                <w:color w:val="000000"/>
                <w:kern w:val="0"/>
                <w:szCs w:val="21"/>
                <w:lang w:bidi="ar"/>
              </w:rPr>
              <w:t>贺学勤</w:t>
            </w:r>
          </w:p>
        </w:tc>
        <w:tc>
          <w:tcPr>
            <w:tcW w:w="1461" w:type="dxa"/>
            <w:tcBorders>
              <w:tl2br w:val="nil"/>
              <w:tr2bl w:val="nil"/>
            </w:tcBorders>
            <w:shd w:val="clear" w:color="auto" w:fill="auto"/>
            <w:vAlign w:val="center"/>
          </w:tcPr>
          <w:p>
            <w:pPr>
              <w:widowControl/>
              <w:spacing w:line="400" w:lineRule="exact"/>
              <w:jc w:val="center"/>
              <w:textAlignment w:val="center"/>
              <w:rPr>
                <w:rFonts w:ascii="宋体" w:hAnsi="宋体" w:cs="宋体"/>
                <w:color w:val="000000"/>
                <w:szCs w:val="21"/>
              </w:rPr>
            </w:pPr>
            <w:r>
              <w:rPr>
                <w:rFonts w:hint="eastAsia" w:ascii="宋体" w:hAnsi="宋体" w:cs="宋体"/>
                <w:color w:val="000000"/>
                <w:kern w:val="0"/>
                <w:szCs w:val="21"/>
                <w:lang w:bidi="ar"/>
              </w:rPr>
              <w:t>2021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2429" w:type="dxa"/>
            <w:tcBorders>
              <w:tl2br w:val="nil"/>
              <w:tr2bl w:val="nil"/>
            </w:tcBorders>
            <w:shd w:val="clear" w:color="auto" w:fill="auto"/>
            <w:vAlign w:val="center"/>
          </w:tcPr>
          <w:p>
            <w:pPr>
              <w:widowControl/>
              <w:spacing w:line="400" w:lineRule="exact"/>
              <w:jc w:val="center"/>
              <w:textAlignment w:val="center"/>
              <w:rPr>
                <w:rFonts w:ascii="宋体" w:hAnsi="宋体" w:cs="宋体"/>
                <w:color w:val="000000"/>
                <w:szCs w:val="21"/>
              </w:rPr>
            </w:pPr>
            <w:r>
              <w:rPr>
                <w:rFonts w:hint="eastAsia" w:ascii="宋体" w:hAnsi="宋体" w:cs="宋体"/>
                <w:color w:val="000000"/>
                <w:kern w:val="0"/>
                <w:szCs w:val="21"/>
                <w:lang w:bidi="ar"/>
              </w:rPr>
              <w:t>校重点教材</w:t>
            </w:r>
          </w:p>
        </w:tc>
        <w:tc>
          <w:tcPr>
            <w:tcW w:w="3608" w:type="dxa"/>
            <w:tcBorders>
              <w:tl2br w:val="nil"/>
              <w:tr2bl w:val="nil"/>
            </w:tcBorders>
            <w:shd w:val="clear" w:color="auto" w:fill="auto"/>
            <w:vAlign w:val="center"/>
          </w:tcPr>
          <w:p>
            <w:pPr>
              <w:widowControl/>
              <w:spacing w:line="400" w:lineRule="exact"/>
              <w:jc w:val="center"/>
              <w:textAlignment w:val="center"/>
              <w:rPr>
                <w:rFonts w:ascii="宋体" w:hAnsi="宋体" w:cs="宋体"/>
                <w:color w:val="000000"/>
                <w:szCs w:val="21"/>
              </w:rPr>
            </w:pPr>
            <w:r>
              <w:rPr>
                <w:rFonts w:hint="eastAsia" w:ascii="宋体" w:hAnsi="宋体" w:cs="宋体"/>
                <w:color w:val="000000"/>
                <w:kern w:val="0"/>
                <w:szCs w:val="21"/>
                <w:lang w:bidi="ar"/>
              </w:rPr>
              <w:t>展示设计</w:t>
            </w:r>
          </w:p>
        </w:tc>
        <w:tc>
          <w:tcPr>
            <w:tcW w:w="1760" w:type="dxa"/>
            <w:tcBorders>
              <w:tl2br w:val="nil"/>
              <w:tr2bl w:val="nil"/>
            </w:tcBorders>
            <w:shd w:val="clear" w:color="auto" w:fill="auto"/>
            <w:vAlign w:val="center"/>
          </w:tcPr>
          <w:p>
            <w:pPr>
              <w:widowControl/>
              <w:spacing w:line="400" w:lineRule="exact"/>
              <w:jc w:val="center"/>
              <w:textAlignment w:val="center"/>
              <w:rPr>
                <w:rFonts w:ascii="宋体" w:hAnsi="宋体" w:cs="宋体"/>
                <w:color w:val="000000"/>
                <w:szCs w:val="21"/>
              </w:rPr>
            </w:pPr>
            <w:r>
              <w:rPr>
                <w:rFonts w:hint="eastAsia" w:ascii="宋体" w:hAnsi="宋体" w:cs="宋体"/>
                <w:color w:val="000000"/>
                <w:kern w:val="0"/>
                <w:szCs w:val="21"/>
                <w:lang w:bidi="ar"/>
              </w:rPr>
              <w:t>杨子奇</w:t>
            </w:r>
          </w:p>
        </w:tc>
        <w:tc>
          <w:tcPr>
            <w:tcW w:w="1461" w:type="dxa"/>
            <w:tcBorders>
              <w:tl2br w:val="nil"/>
              <w:tr2bl w:val="nil"/>
            </w:tcBorders>
            <w:shd w:val="clear" w:color="auto" w:fill="auto"/>
            <w:vAlign w:val="center"/>
          </w:tcPr>
          <w:p>
            <w:pPr>
              <w:widowControl/>
              <w:spacing w:line="400" w:lineRule="exact"/>
              <w:jc w:val="center"/>
              <w:textAlignment w:val="center"/>
              <w:rPr>
                <w:rFonts w:ascii="宋体" w:hAnsi="宋体" w:cs="宋体"/>
                <w:color w:val="000000"/>
                <w:szCs w:val="21"/>
              </w:rPr>
            </w:pPr>
            <w:r>
              <w:rPr>
                <w:rFonts w:hint="eastAsia" w:ascii="宋体" w:hAnsi="宋体" w:cs="宋体"/>
                <w:color w:val="000000"/>
                <w:kern w:val="0"/>
                <w:szCs w:val="21"/>
                <w:lang w:bidi="ar"/>
              </w:rPr>
              <w:t>2021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2429" w:type="dxa"/>
            <w:tcBorders>
              <w:tl2br w:val="nil"/>
              <w:tr2bl w:val="nil"/>
            </w:tcBorders>
            <w:shd w:val="clear" w:color="auto" w:fill="auto"/>
            <w:vAlign w:val="center"/>
          </w:tcPr>
          <w:p>
            <w:pPr>
              <w:widowControl/>
              <w:spacing w:line="400" w:lineRule="exact"/>
              <w:jc w:val="center"/>
              <w:textAlignment w:val="center"/>
              <w:rPr>
                <w:rFonts w:ascii="宋体" w:hAnsi="宋体" w:cs="宋体"/>
                <w:color w:val="000000"/>
                <w:szCs w:val="21"/>
              </w:rPr>
            </w:pPr>
            <w:r>
              <w:rPr>
                <w:rFonts w:hint="eastAsia" w:ascii="宋体" w:hAnsi="宋体" w:cs="宋体"/>
                <w:color w:val="000000"/>
                <w:kern w:val="0"/>
                <w:szCs w:val="21"/>
                <w:lang w:bidi="ar"/>
              </w:rPr>
              <w:t>校重点教材</w:t>
            </w:r>
          </w:p>
        </w:tc>
        <w:tc>
          <w:tcPr>
            <w:tcW w:w="3608" w:type="dxa"/>
            <w:tcBorders>
              <w:tl2br w:val="nil"/>
              <w:tr2bl w:val="nil"/>
            </w:tcBorders>
            <w:shd w:val="clear" w:color="auto" w:fill="auto"/>
            <w:vAlign w:val="center"/>
          </w:tcPr>
          <w:p>
            <w:pPr>
              <w:widowControl/>
              <w:spacing w:line="400" w:lineRule="exact"/>
              <w:jc w:val="center"/>
              <w:textAlignment w:val="center"/>
              <w:rPr>
                <w:rFonts w:ascii="宋体" w:hAnsi="宋体" w:cs="宋体"/>
                <w:color w:val="000000"/>
                <w:szCs w:val="21"/>
              </w:rPr>
            </w:pPr>
            <w:r>
              <w:rPr>
                <w:rFonts w:hint="eastAsia" w:ascii="宋体" w:hAnsi="宋体" w:cs="宋体"/>
                <w:color w:val="000000"/>
                <w:kern w:val="0"/>
                <w:szCs w:val="21"/>
                <w:lang w:bidi="ar"/>
              </w:rPr>
              <w:t>常微分方程教程</w:t>
            </w:r>
          </w:p>
        </w:tc>
        <w:tc>
          <w:tcPr>
            <w:tcW w:w="1760" w:type="dxa"/>
            <w:tcBorders>
              <w:tl2br w:val="nil"/>
              <w:tr2bl w:val="nil"/>
            </w:tcBorders>
            <w:shd w:val="clear" w:color="auto" w:fill="auto"/>
            <w:vAlign w:val="center"/>
          </w:tcPr>
          <w:p>
            <w:pPr>
              <w:widowControl/>
              <w:spacing w:line="400" w:lineRule="exact"/>
              <w:jc w:val="center"/>
              <w:textAlignment w:val="center"/>
              <w:rPr>
                <w:rFonts w:ascii="宋体" w:hAnsi="宋体" w:cs="宋体"/>
                <w:color w:val="000000"/>
                <w:szCs w:val="21"/>
              </w:rPr>
            </w:pPr>
            <w:r>
              <w:rPr>
                <w:rFonts w:hint="eastAsia" w:ascii="宋体" w:hAnsi="宋体" w:cs="宋体"/>
                <w:color w:val="000000"/>
                <w:kern w:val="0"/>
                <w:szCs w:val="21"/>
                <w:lang w:bidi="ar"/>
              </w:rPr>
              <w:t>韩祥临</w:t>
            </w:r>
          </w:p>
        </w:tc>
        <w:tc>
          <w:tcPr>
            <w:tcW w:w="1461" w:type="dxa"/>
            <w:tcBorders>
              <w:tl2br w:val="nil"/>
              <w:tr2bl w:val="nil"/>
            </w:tcBorders>
            <w:shd w:val="clear" w:color="auto" w:fill="auto"/>
            <w:vAlign w:val="center"/>
          </w:tcPr>
          <w:p>
            <w:pPr>
              <w:widowControl/>
              <w:spacing w:line="400" w:lineRule="exact"/>
              <w:jc w:val="center"/>
              <w:textAlignment w:val="center"/>
              <w:rPr>
                <w:rFonts w:ascii="宋体" w:hAnsi="宋体" w:cs="宋体"/>
                <w:color w:val="000000"/>
                <w:szCs w:val="21"/>
              </w:rPr>
            </w:pPr>
            <w:r>
              <w:rPr>
                <w:rFonts w:hint="eastAsia" w:ascii="宋体" w:hAnsi="宋体" w:cs="宋体"/>
                <w:color w:val="000000"/>
                <w:kern w:val="0"/>
                <w:szCs w:val="21"/>
                <w:lang w:bidi="ar"/>
              </w:rPr>
              <w:t>2021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2429" w:type="dxa"/>
            <w:tcBorders>
              <w:tl2br w:val="nil"/>
              <w:tr2bl w:val="nil"/>
            </w:tcBorders>
            <w:shd w:val="clear" w:color="auto" w:fill="auto"/>
            <w:vAlign w:val="center"/>
          </w:tcPr>
          <w:p>
            <w:pPr>
              <w:widowControl/>
              <w:spacing w:line="400" w:lineRule="exact"/>
              <w:jc w:val="center"/>
              <w:textAlignment w:val="center"/>
              <w:rPr>
                <w:rFonts w:ascii="宋体" w:hAnsi="宋体" w:cs="宋体"/>
                <w:color w:val="000000"/>
                <w:szCs w:val="21"/>
              </w:rPr>
            </w:pPr>
            <w:r>
              <w:rPr>
                <w:rFonts w:hint="eastAsia" w:ascii="宋体" w:hAnsi="宋体" w:cs="宋体"/>
                <w:color w:val="000000"/>
                <w:kern w:val="0"/>
                <w:szCs w:val="21"/>
                <w:lang w:bidi="ar"/>
              </w:rPr>
              <w:t>校重点教材</w:t>
            </w:r>
          </w:p>
        </w:tc>
        <w:tc>
          <w:tcPr>
            <w:tcW w:w="3608" w:type="dxa"/>
            <w:tcBorders>
              <w:tl2br w:val="nil"/>
              <w:tr2bl w:val="nil"/>
            </w:tcBorders>
            <w:shd w:val="clear" w:color="auto" w:fill="auto"/>
            <w:vAlign w:val="center"/>
          </w:tcPr>
          <w:p>
            <w:pPr>
              <w:widowControl/>
              <w:spacing w:line="400" w:lineRule="exact"/>
              <w:jc w:val="center"/>
              <w:textAlignment w:val="center"/>
              <w:rPr>
                <w:rFonts w:ascii="宋体" w:hAnsi="宋体" w:cs="宋体"/>
                <w:color w:val="000000"/>
                <w:szCs w:val="21"/>
              </w:rPr>
            </w:pPr>
            <w:r>
              <w:rPr>
                <w:rFonts w:hint="eastAsia" w:ascii="宋体" w:hAnsi="宋体" w:cs="宋体"/>
                <w:color w:val="000000"/>
                <w:kern w:val="0"/>
                <w:szCs w:val="21"/>
                <w:lang w:bidi="ar"/>
              </w:rPr>
              <w:t>数据库系统理论与MySQL实战</w:t>
            </w:r>
          </w:p>
        </w:tc>
        <w:tc>
          <w:tcPr>
            <w:tcW w:w="1760" w:type="dxa"/>
            <w:tcBorders>
              <w:tl2br w:val="nil"/>
              <w:tr2bl w:val="nil"/>
            </w:tcBorders>
            <w:shd w:val="clear" w:color="auto" w:fill="auto"/>
            <w:vAlign w:val="center"/>
          </w:tcPr>
          <w:p>
            <w:pPr>
              <w:widowControl/>
              <w:spacing w:line="400" w:lineRule="exact"/>
              <w:jc w:val="center"/>
              <w:textAlignment w:val="center"/>
              <w:rPr>
                <w:rFonts w:ascii="宋体" w:hAnsi="宋体" w:cs="宋体"/>
                <w:color w:val="000000"/>
                <w:szCs w:val="21"/>
              </w:rPr>
            </w:pPr>
            <w:r>
              <w:rPr>
                <w:rFonts w:hint="eastAsia" w:ascii="宋体" w:hAnsi="宋体" w:cs="宋体"/>
                <w:color w:val="000000"/>
                <w:kern w:val="0"/>
                <w:szCs w:val="21"/>
                <w:lang w:bidi="ar"/>
              </w:rPr>
              <w:t>蒋云良、郝秀兰</w:t>
            </w:r>
          </w:p>
        </w:tc>
        <w:tc>
          <w:tcPr>
            <w:tcW w:w="1461" w:type="dxa"/>
            <w:tcBorders>
              <w:tl2br w:val="nil"/>
              <w:tr2bl w:val="nil"/>
            </w:tcBorders>
            <w:shd w:val="clear" w:color="auto" w:fill="auto"/>
            <w:vAlign w:val="center"/>
          </w:tcPr>
          <w:p>
            <w:pPr>
              <w:widowControl/>
              <w:spacing w:line="400" w:lineRule="exact"/>
              <w:jc w:val="center"/>
              <w:textAlignment w:val="center"/>
              <w:rPr>
                <w:rFonts w:ascii="宋体" w:hAnsi="宋体" w:cs="宋体"/>
                <w:color w:val="000000"/>
                <w:szCs w:val="21"/>
              </w:rPr>
            </w:pPr>
            <w:r>
              <w:rPr>
                <w:rFonts w:hint="eastAsia" w:ascii="宋体" w:hAnsi="宋体" w:cs="宋体"/>
                <w:color w:val="000000"/>
                <w:kern w:val="0"/>
                <w:szCs w:val="21"/>
                <w:lang w:bidi="ar"/>
              </w:rPr>
              <w:t>2021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2429" w:type="dxa"/>
            <w:tcBorders>
              <w:tl2br w:val="nil"/>
              <w:tr2bl w:val="nil"/>
            </w:tcBorders>
            <w:shd w:val="clear" w:color="auto" w:fill="auto"/>
            <w:vAlign w:val="center"/>
          </w:tcPr>
          <w:p>
            <w:pPr>
              <w:widowControl/>
              <w:spacing w:line="400" w:lineRule="exact"/>
              <w:jc w:val="center"/>
              <w:textAlignment w:val="center"/>
              <w:rPr>
                <w:rFonts w:ascii="宋体" w:hAnsi="宋体" w:cs="宋体"/>
                <w:color w:val="000000"/>
                <w:szCs w:val="21"/>
              </w:rPr>
            </w:pPr>
            <w:r>
              <w:rPr>
                <w:rFonts w:hint="eastAsia" w:ascii="宋体" w:hAnsi="宋体" w:cs="宋体"/>
                <w:color w:val="000000"/>
                <w:kern w:val="0"/>
                <w:szCs w:val="21"/>
                <w:lang w:bidi="ar"/>
              </w:rPr>
              <w:t>校重点教材</w:t>
            </w:r>
          </w:p>
        </w:tc>
        <w:tc>
          <w:tcPr>
            <w:tcW w:w="3608" w:type="dxa"/>
            <w:tcBorders>
              <w:tl2br w:val="nil"/>
              <w:tr2bl w:val="nil"/>
            </w:tcBorders>
            <w:shd w:val="clear" w:color="auto" w:fill="auto"/>
            <w:vAlign w:val="center"/>
          </w:tcPr>
          <w:p>
            <w:pPr>
              <w:widowControl/>
              <w:spacing w:line="400" w:lineRule="exact"/>
              <w:jc w:val="center"/>
              <w:textAlignment w:val="center"/>
              <w:rPr>
                <w:rFonts w:ascii="宋体" w:hAnsi="宋体" w:cs="宋体"/>
                <w:color w:val="000000"/>
                <w:szCs w:val="21"/>
              </w:rPr>
            </w:pPr>
            <w:r>
              <w:rPr>
                <w:rFonts w:hint="eastAsia" w:ascii="宋体" w:hAnsi="宋体" w:cs="宋体"/>
                <w:color w:val="000000"/>
                <w:kern w:val="0"/>
                <w:szCs w:val="21"/>
                <w:lang w:bidi="ar"/>
              </w:rPr>
              <w:t>结构化消息流信息系统开发实践教程</w:t>
            </w:r>
          </w:p>
        </w:tc>
        <w:tc>
          <w:tcPr>
            <w:tcW w:w="1760" w:type="dxa"/>
            <w:tcBorders>
              <w:tl2br w:val="nil"/>
              <w:tr2bl w:val="nil"/>
            </w:tcBorders>
            <w:shd w:val="clear" w:color="auto" w:fill="auto"/>
            <w:vAlign w:val="center"/>
          </w:tcPr>
          <w:p>
            <w:pPr>
              <w:widowControl/>
              <w:spacing w:line="400" w:lineRule="exact"/>
              <w:jc w:val="center"/>
              <w:textAlignment w:val="center"/>
              <w:rPr>
                <w:rFonts w:ascii="宋体" w:hAnsi="宋体" w:cs="宋体"/>
                <w:color w:val="000000"/>
                <w:szCs w:val="21"/>
              </w:rPr>
            </w:pPr>
            <w:r>
              <w:rPr>
                <w:rFonts w:hint="eastAsia" w:ascii="宋体" w:hAnsi="宋体" w:cs="宋体"/>
                <w:color w:val="000000"/>
                <w:kern w:val="0"/>
                <w:szCs w:val="21"/>
                <w:lang w:bidi="ar"/>
              </w:rPr>
              <w:t>黄  旭</w:t>
            </w:r>
          </w:p>
        </w:tc>
        <w:tc>
          <w:tcPr>
            <w:tcW w:w="1461" w:type="dxa"/>
            <w:tcBorders>
              <w:tl2br w:val="nil"/>
              <w:tr2bl w:val="nil"/>
            </w:tcBorders>
            <w:shd w:val="clear" w:color="auto" w:fill="auto"/>
            <w:vAlign w:val="center"/>
          </w:tcPr>
          <w:p>
            <w:pPr>
              <w:widowControl/>
              <w:spacing w:line="400" w:lineRule="exact"/>
              <w:jc w:val="center"/>
              <w:textAlignment w:val="center"/>
              <w:rPr>
                <w:rFonts w:ascii="宋体" w:hAnsi="宋体" w:cs="宋体"/>
                <w:color w:val="000000"/>
                <w:szCs w:val="21"/>
              </w:rPr>
            </w:pPr>
            <w:r>
              <w:rPr>
                <w:rFonts w:hint="eastAsia" w:ascii="宋体" w:hAnsi="宋体" w:cs="宋体"/>
                <w:color w:val="000000"/>
                <w:kern w:val="0"/>
                <w:szCs w:val="21"/>
                <w:lang w:bidi="ar"/>
              </w:rPr>
              <w:t>2021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62" w:hRule="atLeast"/>
          <w:jc w:val="center"/>
        </w:trPr>
        <w:tc>
          <w:tcPr>
            <w:tcW w:w="2429" w:type="dxa"/>
            <w:tcBorders>
              <w:tl2br w:val="nil"/>
              <w:tr2bl w:val="nil"/>
            </w:tcBorders>
            <w:shd w:val="clear" w:color="auto" w:fill="auto"/>
            <w:vAlign w:val="center"/>
          </w:tcPr>
          <w:p>
            <w:pPr>
              <w:widowControl/>
              <w:spacing w:line="400" w:lineRule="exact"/>
              <w:jc w:val="center"/>
              <w:textAlignment w:val="center"/>
              <w:rPr>
                <w:rFonts w:ascii="宋体" w:hAnsi="宋体" w:cs="宋体"/>
                <w:color w:val="000000"/>
                <w:szCs w:val="21"/>
              </w:rPr>
            </w:pPr>
            <w:r>
              <w:rPr>
                <w:rFonts w:hint="eastAsia" w:ascii="宋体" w:hAnsi="宋体" w:cs="宋体"/>
                <w:color w:val="000000"/>
                <w:kern w:val="0"/>
                <w:szCs w:val="21"/>
                <w:lang w:bidi="ar"/>
              </w:rPr>
              <w:t>校重点教材</w:t>
            </w:r>
          </w:p>
        </w:tc>
        <w:tc>
          <w:tcPr>
            <w:tcW w:w="3608" w:type="dxa"/>
            <w:tcBorders>
              <w:tl2br w:val="nil"/>
              <w:tr2bl w:val="nil"/>
            </w:tcBorders>
            <w:shd w:val="clear" w:color="auto" w:fill="auto"/>
            <w:vAlign w:val="center"/>
          </w:tcPr>
          <w:p>
            <w:pPr>
              <w:widowControl/>
              <w:spacing w:line="400" w:lineRule="exact"/>
              <w:jc w:val="center"/>
              <w:textAlignment w:val="center"/>
              <w:rPr>
                <w:rFonts w:ascii="宋体" w:hAnsi="宋体" w:cs="宋体"/>
                <w:color w:val="000000"/>
                <w:szCs w:val="21"/>
              </w:rPr>
            </w:pPr>
            <w:r>
              <w:rPr>
                <w:rFonts w:hint="eastAsia" w:ascii="宋体" w:hAnsi="宋体" w:cs="宋体"/>
                <w:color w:val="000000"/>
                <w:kern w:val="0"/>
                <w:szCs w:val="21"/>
                <w:lang w:bidi="ar"/>
              </w:rPr>
              <w:t>基础医学整合实验教程</w:t>
            </w:r>
          </w:p>
        </w:tc>
        <w:tc>
          <w:tcPr>
            <w:tcW w:w="1760" w:type="dxa"/>
            <w:tcBorders>
              <w:tl2br w:val="nil"/>
              <w:tr2bl w:val="nil"/>
            </w:tcBorders>
            <w:shd w:val="clear" w:color="auto" w:fill="auto"/>
            <w:vAlign w:val="center"/>
          </w:tcPr>
          <w:p>
            <w:pPr>
              <w:widowControl/>
              <w:spacing w:line="400" w:lineRule="exact"/>
              <w:jc w:val="center"/>
              <w:textAlignment w:val="center"/>
              <w:rPr>
                <w:rFonts w:ascii="宋体" w:hAnsi="宋体" w:cs="宋体"/>
                <w:color w:val="000000"/>
                <w:szCs w:val="21"/>
              </w:rPr>
            </w:pPr>
            <w:r>
              <w:rPr>
                <w:rFonts w:hint="eastAsia" w:ascii="宋体" w:hAnsi="宋体" w:cs="宋体"/>
                <w:color w:val="000000"/>
                <w:kern w:val="0"/>
                <w:szCs w:val="21"/>
                <w:lang w:bidi="ar"/>
              </w:rPr>
              <w:t>周洪昌、姚韵靓</w:t>
            </w:r>
          </w:p>
        </w:tc>
        <w:tc>
          <w:tcPr>
            <w:tcW w:w="1461" w:type="dxa"/>
            <w:tcBorders>
              <w:tl2br w:val="nil"/>
              <w:tr2bl w:val="nil"/>
            </w:tcBorders>
            <w:shd w:val="clear" w:color="auto" w:fill="auto"/>
            <w:vAlign w:val="center"/>
          </w:tcPr>
          <w:p>
            <w:pPr>
              <w:widowControl/>
              <w:spacing w:line="400" w:lineRule="exact"/>
              <w:jc w:val="center"/>
              <w:textAlignment w:val="center"/>
              <w:rPr>
                <w:rFonts w:ascii="宋体" w:hAnsi="宋体" w:cs="宋体"/>
                <w:color w:val="000000"/>
                <w:szCs w:val="21"/>
              </w:rPr>
            </w:pPr>
            <w:r>
              <w:rPr>
                <w:rFonts w:hint="eastAsia" w:ascii="宋体" w:hAnsi="宋体" w:cs="宋体"/>
                <w:color w:val="000000"/>
                <w:kern w:val="0"/>
                <w:szCs w:val="21"/>
                <w:lang w:bidi="ar"/>
              </w:rPr>
              <w:t>2021</w:t>
            </w:r>
          </w:p>
        </w:tc>
      </w:tr>
    </w:tbl>
    <w:p>
      <w:pPr>
        <w:widowControl/>
        <w:spacing w:line="400" w:lineRule="exact"/>
        <w:rPr>
          <w:rFonts w:ascii="宋体" w:hAnsi="宋体" w:cs="宋体"/>
          <w:sz w:val="24"/>
        </w:rPr>
      </w:pPr>
    </w:p>
    <w:p>
      <w:pPr>
        <w:widowControl/>
        <w:spacing w:line="400" w:lineRule="exact"/>
        <w:ind w:firstLine="456" w:firstLineChars="200"/>
        <w:rPr>
          <w:rFonts w:ascii="宋体" w:hAnsi="宋体" w:cs="宋体"/>
          <w:sz w:val="24"/>
        </w:rPr>
      </w:pPr>
      <w:r>
        <w:rPr>
          <w:rFonts w:hint="eastAsia" w:ascii="宋体" w:hAnsi="宋体" w:cs="宋体"/>
          <w:sz w:val="24"/>
        </w:rPr>
        <w:t>教材选用实行校、院两级审核制，主要从教材的意识形态及学术质量两方面进行审核。教材选用坚持正确的政治方向，杜绝有不当意识形态问题的教材进入课堂。思想政治理论课和哲学社会科学有关课程统一使用马克思主义理论研究和建设工程重点教材，其它课程优先使用国家级和省级的规划教材、精品（优秀）教材、教育部教学指导委员会推荐的教材。</w:t>
      </w:r>
    </w:p>
    <w:p>
      <w:pPr>
        <w:rPr>
          <w:rFonts w:ascii="黑体" w:hAnsi="黑体" w:eastAsia="黑体" w:cs="黑体"/>
          <w:sz w:val="28"/>
          <w:szCs w:val="28"/>
        </w:rPr>
      </w:pPr>
      <w:r>
        <w:rPr>
          <w:rFonts w:hint="eastAsia" w:ascii="黑体" w:hAnsi="黑体" w:eastAsia="黑体" w:cs="黑体"/>
          <w:sz w:val="28"/>
          <w:szCs w:val="28"/>
        </w:rPr>
        <w:t>（四）强化毕业设计（论文）过程管理</w:t>
      </w:r>
    </w:p>
    <w:p>
      <w:pPr>
        <w:spacing w:line="400" w:lineRule="exact"/>
        <w:ind w:firstLine="456" w:firstLineChars="200"/>
        <w:rPr>
          <w:rFonts w:ascii="宋体" w:hAnsi="宋体" w:cs="宋体"/>
          <w:sz w:val="24"/>
        </w:rPr>
      </w:pPr>
      <w:r>
        <w:rPr>
          <w:rFonts w:hint="eastAsia" w:ascii="宋体" w:hAnsi="宋体" w:cs="宋体"/>
          <w:sz w:val="24"/>
        </w:rPr>
        <w:t>根据学校《本科生毕业设计（论文）工作条例》，切实推进毕业设计（论文）过程化管理，组织毕业论文自查和督查，提高本科生毕业设计（论文）的整体质量。积极推进从实验、实习、工程实践、学科竞赛、创新创业项目和社会调查等实践中选题，提升应用型人才培养质量。全面使用知网“大学生论文抄袭检测系统”，对2021届毕业生2200篇毕业设计（论文）进行了检测，合格率100%。除要求二级学院自查外，学校督导每年9月对毕业设计（论文）从选题、写作规范、文献参考、设计（论文）质量、论文评语、签字、表格等进行抽查，促进毕业设计（论文）的规范管理，提高毕业设计（论文）质量。本学年2200篇毕业设计（论文）中，优秀66篇、良好775篇。</w:t>
      </w:r>
    </w:p>
    <w:p>
      <w:pPr>
        <w:rPr>
          <w:rFonts w:ascii="黑体" w:hAnsi="黑体" w:eastAsia="黑体" w:cs="黑体"/>
          <w:sz w:val="28"/>
          <w:szCs w:val="28"/>
        </w:rPr>
      </w:pPr>
      <w:r>
        <w:rPr>
          <w:rFonts w:hint="eastAsia" w:ascii="黑体" w:hAnsi="黑体" w:eastAsia="黑体" w:cs="黑体"/>
          <w:sz w:val="28"/>
          <w:szCs w:val="28"/>
        </w:rPr>
        <w:t>（五）创新创业教育</w:t>
      </w:r>
    </w:p>
    <w:p>
      <w:pPr>
        <w:spacing w:line="400" w:lineRule="exact"/>
        <w:ind w:firstLine="456" w:firstLineChars="200"/>
        <w:rPr>
          <w:rFonts w:ascii="宋体" w:hAnsi="宋体" w:cs="宋体"/>
          <w:sz w:val="24"/>
        </w:rPr>
      </w:pPr>
      <w:r>
        <w:rPr>
          <w:rFonts w:hint="eastAsia" w:ascii="宋体" w:hAnsi="宋体" w:cs="宋体"/>
          <w:sz w:val="24"/>
        </w:rPr>
        <w:t>学校重点推进创新创业教育和专业教育的深度交叉融合、“多元协同”的外部合作网络建设和“内外兼容”的教师队伍建设，着力构建项目、竞赛、培育、孵化多元的创新创业教育生态。</w:t>
      </w:r>
    </w:p>
    <w:p>
      <w:pPr>
        <w:adjustRightInd w:val="0"/>
        <w:snapToGrid w:val="0"/>
        <w:rPr>
          <w:rFonts w:ascii="黑体" w:hAnsi="黑体" w:eastAsia="黑体" w:cs="黑体"/>
          <w:sz w:val="24"/>
        </w:rPr>
      </w:pPr>
      <w:r>
        <w:rPr>
          <w:rFonts w:hint="eastAsia" w:ascii="黑体" w:hAnsi="黑体" w:eastAsia="黑体" w:cs="黑体"/>
          <w:sz w:val="24"/>
        </w:rPr>
        <w:t>1. 加强创业学院建设</w:t>
      </w:r>
    </w:p>
    <w:p>
      <w:pPr>
        <w:spacing w:line="400" w:lineRule="exact"/>
        <w:ind w:firstLine="456" w:firstLineChars="200"/>
        <w:rPr>
          <w:rFonts w:ascii="宋体" w:hAnsi="宋体" w:cs="宋体"/>
          <w:sz w:val="24"/>
        </w:rPr>
      </w:pPr>
      <w:r>
        <w:rPr>
          <w:rFonts w:hint="eastAsia" w:ascii="宋体" w:hAnsi="宋体" w:cs="宋体"/>
          <w:sz w:val="24"/>
        </w:rPr>
        <w:t>设置安定书院/创新创业学院，设立创新创业专项经费，统筹全校创新创业工作。建成面积约2万平方米的湖州市大学生创新创业中心，已发布项目入驻预报名通知，共收到59个项目申报。</w:t>
      </w:r>
    </w:p>
    <w:p>
      <w:pPr>
        <w:adjustRightInd w:val="0"/>
        <w:snapToGrid w:val="0"/>
        <w:rPr>
          <w:rFonts w:ascii="黑体" w:hAnsi="黑体" w:eastAsia="黑体" w:cs="黑体"/>
          <w:sz w:val="24"/>
        </w:rPr>
      </w:pPr>
      <w:r>
        <w:rPr>
          <w:rFonts w:hint="eastAsia" w:ascii="黑体" w:hAnsi="黑体" w:eastAsia="黑体" w:cs="黑体"/>
          <w:sz w:val="24"/>
        </w:rPr>
        <w:t>2. 强化创新创业教育</w:t>
      </w:r>
    </w:p>
    <w:p>
      <w:pPr>
        <w:spacing w:line="400" w:lineRule="exact"/>
        <w:ind w:firstLine="456" w:firstLineChars="200"/>
        <w:rPr>
          <w:rFonts w:ascii="宋体" w:hAnsi="宋体" w:cs="宋体"/>
          <w:sz w:val="24"/>
        </w:rPr>
      </w:pPr>
      <w:r>
        <w:rPr>
          <w:rFonts w:hint="eastAsia" w:ascii="宋体" w:hAnsi="宋体" w:cs="宋体"/>
          <w:sz w:val="24"/>
        </w:rPr>
        <w:t>建立创新创业基层教学组织——创新创业教研室，挂靠经济管理学院，负责全校创新创业类课程的教学与管理工作。一是开设2学分的创新创业基础必修课</w:t>
      </w:r>
      <w:r>
        <w:rPr>
          <w:rFonts w:hint="eastAsia" w:ascii="宋体" w:hAnsi="宋体" w:cs="宋体"/>
          <w:color w:val="000000" w:themeColor="text1"/>
          <w:sz w:val="24"/>
          <w14:textFill>
            <w14:solidFill>
              <w14:schemeClr w14:val="tx1"/>
            </w14:solidFill>
          </w14:textFill>
        </w:rPr>
        <w:t>，建设推广创新创业类教育课程30门，引进超星创新创业尔雅课程7门。2020-2021学年共审核通过课外创新创业学分11222人次，认定学分总计14539.3学分。二是加</w:t>
      </w:r>
      <w:r>
        <w:rPr>
          <w:rFonts w:hint="eastAsia" w:ascii="宋体" w:hAnsi="宋体" w:cs="宋体"/>
          <w:sz w:val="24"/>
        </w:rPr>
        <w:t>强大学生创新创业培训，学校获评“浙江省首批省级创业培训示范基地”，并与湖州市人力资源和社会保障局合作在我校建立SYB培训基地，每年开办SYB创业培训班24期，培训学员1200余人。</w:t>
      </w:r>
    </w:p>
    <w:p>
      <w:pPr>
        <w:adjustRightInd w:val="0"/>
        <w:snapToGrid w:val="0"/>
        <w:rPr>
          <w:rFonts w:ascii="黑体" w:hAnsi="黑体" w:eastAsia="黑体" w:cs="黑体"/>
          <w:sz w:val="24"/>
        </w:rPr>
      </w:pPr>
      <w:r>
        <w:rPr>
          <w:rFonts w:hint="eastAsia" w:ascii="黑体" w:hAnsi="黑体" w:eastAsia="黑体" w:cs="黑体"/>
          <w:sz w:val="24"/>
        </w:rPr>
        <w:t>3. 加强创新创业项目建设</w:t>
      </w:r>
    </w:p>
    <w:p>
      <w:pPr>
        <w:spacing w:line="400" w:lineRule="exact"/>
        <w:ind w:firstLine="456" w:firstLineChars="200"/>
        <w:rPr>
          <w:rFonts w:ascii="宋体" w:hAnsi="宋体" w:cs="宋体"/>
          <w:sz w:val="24"/>
        </w:rPr>
      </w:pPr>
      <w:r>
        <w:rPr>
          <w:rFonts w:hint="eastAsia" w:ascii="宋体" w:hAnsi="宋体" w:cs="宋体"/>
          <w:sz w:val="24"/>
        </w:rPr>
        <w:t>2018年以来共举办三届“富尔顿杯”大学生创新创业大赛，遴选优秀创新创业项目，促进项目落地。2020-2021学年，获国家级大学生创新创业训练计划项目60项，校院两级学生科研项目600余项，参与学生5000余人。积极推动“互联网+”大学生创新创业大赛，本学年共收到参赛作品357项，获省赛铜奖3项。</w:t>
      </w:r>
    </w:p>
    <w:p>
      <w:pPr>
        <w:adjustRightInd w:val="0"/>
        <w:snapToGrid w:val="0"/>
        <w:rPr>
          <w:rFonts w:ascii="黑体" w:hAnsi="黑体" w:eastAsia="黑体" w:cs="黑体"/>
          <w:sz w:val="24"/>
        </w:rPr>
      </w:pPr>
      <w:r>
        <w:rPr>
          <w:rFonts w:hint="eastAsia" w:ascii="黑体" w:hAnsi="黑体" w:eastAsia="黑体" w:cs="黑体"/>
          <w:sz w:val="24"/>
        </w:rPr>
        <w:t>4. 促进政产学研用融合</w:t>
      </w:r>
    </w:p>
    <w:p>
      <w:pPr>
        <w:spacing w:line="400" w:lineRule="exact"/>
        <w:ind w:firstLine="456" w:firstLineChars="200"/>
        <w:rPr>
          <w:rFonts w:ascii="黑体" w:hAnsi="黑体" w:eastAsia="黑体" w:cs="黑体"/>
          <w:sz w:val="28"/>
          <w:szCs w:val="28"/>
        </w:rPr>
      </w:pPr>
      <w:r>
        <w:rPr>
          <w:rFonts w:hint="eastAsia" w:ascii="宋体" w:hAnsi="宋体" w:cs="宋体"/>
          <w:sz w:val="24"/>
        </w:rPr>
        <w:t>依托优势学科专业平台，探索打通“两山”转化通道的“湖师模式”。大力实施校地融合工程，着力提升科技服务对区域经济社会发展的应答能力，创建“一县区一品牌”，包括与安吉县共建“两山”理念研究院，与吴兴区、南浔区协同推进“世界丝绸之源”品牌与内涵建设，与南太湖新区共建研究院，在长兴县建好天能学院，在德清县加强地理信息产业方面合作等。整合和挖掘蚕丝绸文化资源，2020年10月，蚕丝绸文化基地获评教育部“2020年全国普通高校中华优秀传统文化传承基地”。同时，积极打造10大校外基地，加强技术转移中心和协同创新中心建设，推动科技成果转化落地。</w:t>
      </w:r>
    </w:p>
    <w:p>
      <w:pPr>
        <w:rPr>
          <w:rFonts w:ascii="黑体" w:hAnsi="黑体" w:eastAsia="黑体" w:cs="黑体"/>
          <w:sz w:val="28"/>
          <w:szCs w:val="28"/>
        </w:rPr>
      </w:pPr>
      <w:r>
        <w:rPr>
          <w:rFonts w:hint="eastAsia" w:ascii="黑体" w:hAnsi="黑体" w:eastAsia="黑体" w:cs="黑体"/>
          <w:sz w:val="28"/>
          <w:szCs w:val="28"/>
        </w:rPr>
        <w:t>（六）教育国际化</w:t>
      </w:r>
    </w:p>
    <w:p>
      <w:pPr>
        <w:adjustRightInd w:val="0"/>
        <w:snapToGrid w:val="0"/>
        <w:rPr>
          <w:rFonts w:ascii="黑体" w:hAnsi="黑体" w:eastAsia="黑体" w:cs="黑体"/>
          <w:sz w:val="24"/>
        </w:rPr>
      </w:pPr>
      <w:r>
        <w:rPr>
          <w:rFonts w:hint="eastAsia" w:ascii="黑体" w:hAnsi="黑体" w:eastAsia="黑体" w:cs="黑体"/>
          <w:sz w:val="24"/>
        </w:rPr>
        <w:t>1. 中外合作办学项目稳定开展</w:t>
      </w:r>
    </w:p>
    <w:p>
      <w:pPr>
        <w:widowControl/>
        <w:spacing w:line="400" w:lineRule="exact"/>
        <w:ind w:firstLine="456" w:firstLineChars="200"/>
        <w:rPr>
          <w:rFonts w:ascii="宋体" w:hAnsi="宋体" w:cs="宋体"/>
          <w:sz w:val="24"/>
        </w:rPr>
      </w:pPr>
      <w:r>
        <w:rPr>
          <w:rFonts w:hint="eastAsia" w:ascii="宋体" w:hAnsi="宋体" w:cs="宋体"/>
          <w:sz w:val="24"/>
        </w:rPr>
        <w:t>健全中外合作办学教学质量评价体系，探索“以我为主、双向流动、突出特色、合作共</w:t>
      </w:r>
    </w:p>
    <w:p>
      <w:pPr>
        <w:widowControl/>
        <w:spacing w:line="400" w:lineRule="exact"/>
        <w:rPr>
          <w:rFonts w:ascii="宋体" w:hAnsi="宋体" w:cs="宋体"/>
          <w:sz w:val="24"/>
        </w:rPr>
      </w:pPr>
      <w:r>
        <w:rPr>
          <w:rFonts w:hint="eastAsia" w:ascii="宋体" w:hAnsi="宋体" w:cs="宋体"/>
          <w:sz w:val="24"/>
        </w:rPr>
        <w:t>赢”的办学模式，对教学条件、教学管理、教学成效等方面进行评估。引进外方优秀师资与课程，提升课程质量。创新教学模式，承续优秀的“君子之风”传统文化，培养政治思想素质好、知识结构完善，掌握现代学前教育理念，具有国际视野、具备较强实践反思能力和创</w:t>
      </w:r>
    </w:p>
    <w:p>
      <w:pPr>
        <w:widowControl/>
        <w:spacing w:line="400" w:lineRule="exact"/>
        <w:rPr>
          <w:rFonts w:ascii="宋体" w:hAnsi="宋体" w:cs="宋体"/>
          <w:sz w:val="24"/>
        </w:rPr>
      </w:pPr>
      <w:r>
        <w:rPr>
          <w:rFonts w:hint="eastAsia" w:ascii="宋体" w:hAnsi="宋体" w:cs="宋体"/>
          <w:sz w:val="24"/>
        </w:rPr>
        <w:t>新精神，展现当代“儒师”风范的 “四有”好教师与管理者。</w:t>
      </w:r>
    </w:p>
    <w:p>
      <w:pPr>
        <w:widowControl/>
        <w:spacing w:line="400" w:lineRule="exact"/>
        <w:ind w:firstLine="456" w:firstLineChars="200"/>
        <w:rPr>
          <w:rFonts w:ascii="宋体" w:hAnsi="宋体" w:cs="宋体"/>
          <w:sz w:val="24"/>
        </w:rPr>
      </w:pPr>
      <w:r>
        <w:rPr>
          <w:rFonts w:hint="eastAsia" w:ascii="宋体" w:hAnsi="宋体" w:cs="宋体"/>
          <w:sz w:val="24"/>
        </w:rPr>
        <w:t>2020年，我校与美国北科罗拉多大学合作办学项目（学前教育专业）招收新生59人，该项目在校生共计248人。</w:t>
      </w:r>
    </w:p>
    <w:p>
      <w:pPr>
        <w:adjustRightInd w:val="0"/>
        <w:snapToGrid w:val="0"/>
        <w:rPr>
          <w:rFonts w:ascii="黑体" w:hAnsi="黑体" w:eastAsia="黑体" w:cs="黑体"/>
          <w:sz w:val="24"/>
        </w:rPr>
      </w:pPr>
      <w:r>
        <w:rPr>
          <w:rFonts w:hint="eastAsia" w:ascii="黑体" w:hAnsi="黑体" w:eastAsia="黑体" w:cs="黑体"/>
          <w:sz w:val="24"/>
        </w:rPr>
        <w:t>2. 国际学生教育稳步推进</w:t>
      </w:r>
    </w:p>
    <w:p>
      <w:pPr>
        <w:widowControl/>
        <w:spacing w:line="400" w:lineRule="exact"/>
        <w:ind w:firstLine="456" w:firstLineChars="200"/>
        <w:rPr>
          <w:rFonts w:ascii="宋体" w:hAnsi="宋体" w:cs="宋体"/>
          <w:b/>
          <w:bCs/>
          <w:sz w:val="24"/>
        </w:rPr>
      </w:pPr>
      <w:r>
        <w:rPr>
          <w:rFonts w:hint="eastAsia" w:ascii="宋体" w:hAnsi="宋体" w:cs="宋体"/>
          <w:sz w:val="24"/>
        </w:rPr>
        <w:t>学校共有498名来自俄罗斯、乌克兰、哈萨克斯坦、乌兹别克斯坦、泰国、孟加拉国、埃塞俄比亚、加纳、赞比亚、津巴布韦等42个国家的国际学生，学历生比例超过90%。其中国际研究生共有207</w:t>
      </w:r>
      <w:r>
        <w:rPr>
          <w:rFonts w:hint="eastAsia" w:ascii="宋体" w:hAnsi="宋体" w:cs="宋体"/>
          <w:color w:val="000000" w:themeColor="text1"/>
          <w:sz w:val="24"/>
          <w14:textFill>
            <w14:solidFill>
              <w14:schemeClr w14:val="tx1"/>
            </w14:solidFill>
          </w14:textFill>
        </w:rPr>
        <w:t>名，分别来自乌克兰、乌兹别克斯坦、蒙古、孟加拉国、加纳、尼日利亚等28个国家，在学校攻读教育硕士、水产硕士、工程硕士、护理硕士及艺术硕士。</w:t>
      </w:r>
    </w:p>
    <w:p>
      <w:pPr>
        <w:adjustRightInd w:val="0"/>
        <w:snapToGrid w:val="0"/>
        <w:rPr>
          <w:rFonts w:ascii="黑体" w:hAnsi="黑体" w:eastAsia="黑体" w:cs="黑体"/>
          <w:sz w:val="24"/>
        </w:rPr>
      </w:pPr>
      <w:r>
        <w:rPr>
          <w:rFonts w:hint="eastAsia" w:ascii="黑体" w:hAnsi="黑体" w:eastAsia="黑体" w:cs="黑体"/>
          <w:sz w:val="24"/>
        </w:rPr>
        <w:t>3. 学生外派出国（境)工作攻坚克难</w:t>
      </w:r>
    </w:p>
    <w:p>
      <w:pPr>
        <w:widowControl/>
        <w:spacing w:line="400" w:lineRule="exact"/>
        <w:ind w:firstLine="456" w:firstLineChars="200"/>
        <w:rPr>
          <w:rFonts w:ascii="宋体" w:hAnsi="宋体" w:cs="宋体"/>
          <w:sz w:val="24"/>
          <w:highlight w:val="red"/>
        </w:rPr>
      </w:pPr>
      <w:r>
        <w:rPr>
          <w:rFonts w:hint="eastAsia" w:ascii="宋体" w:hAnsi="宋体" w:cs="宋体"/>
          <w:sz w:val="24"/>
        </w:rPr>
        <w:t>积极打造“远航”计划，精心设计新一轮学生海外交流项目，并建立资助激励机制，积极推进学校外派出国（境）交流交换学习项目。学校已先后与全球20多个国家、60多所高校签订校际合作协议，确立了教师互派、学生互换、学分互认等合作关系，推出了30多个学生海外交流项目，实现了学生外派交换项目专业的全覆盖。2020-2021学年，受新冠肺炎疫情的影响，学校有2名学生赴国（境）外交流学习。同时，与多所海外合作院校共同推出面向我校师生的线上国际交流学习项目，逾700名师生参与并受益。</w:t>
      </w:r>
    </w:p>
    <w:p>
      <w:pPr>
        <w:rPr>
          <w:rFonts w:ascii="黑体" w:hAnsi="黑体" w:eastAsia="黑体" w:cs="黑体"/>
          <w:sz w:val="30"/>
          <w:szCs w:val="30"/>
        </w:rPr>
      </w:pPr>
      <w:r>
        <w:rPr>
          <w:rFonts w:hint="eastAsia" w:ascii="黑体" w:hAnsi="黑体" w:eastAsia="黑体" w:cs="黑体"/>
          <w:sz w:val="30"/>
          <w:szCs w:val="30"/>
        </w:rPr>
        <w:t>四、专业培养能力</w:t>
      </w:r>
    </w:p>
    <w:p>
      <w:pPr>
        <w:adjustRightInd w:val="0"/>
        <w:snapToGrid w:val="0"/>
        <w:spacing w:line="400" w:lineRule="exact"/>
        <w:ind w:firstLine="456" w:firstLineChars="200"/>
        <w:rPr>
          <w:rFonts w:ascii="宋体" w:hAnsi="宋体" w:cs="宋体"/>
          <w:sz w:val="24"/>
        </w:rPr>
      </w:pPr>
      <w:r>
        <w:rPr>
          <w:rFonts w:hint="eastAsia" w:ascii="宋体" w:hAnsi="宋体" w:cs="宋体"/>
          <w:sz w:val="24"/>
        </w:rPr>
        <w:t>学校坚持</w:t>
      </w:r>
      <w:r>
        <w:rPr>
          <w:rFonts w:hint="eastAsia" w:ascii="宋体" w:hAnsi="宋体" w:cs="宋体"/>
          <w:color w:val="000000" w:themeColor="text1"/>
          <w:sz w:val="24"/>
          <w14:textFill>
            <w14:solidFill>
              <w14:schemeClr w14:val="tx1"/>
            </w14:solidFill>
          </w14:textFill>
        </w:rPr>
        <w:t>“以生为本”</w:t>
      </w:r>
      <w:r>
        <w:rPr>
          <w:rFonts w:hint="eastAsia" w:ascii="宋体" w:hAnsi="宋体" w:cs="宋体"/>
          <w:sz w:val="24"/>
        </w:rPr>
        <w:t>的教育理念，发展学生“人文底蕴、科学精神、学会学习、学会合作、责任担当、实践创新”六大核心素养，形成由教育理念、培养目标与核心素养组成的本科人才培养目标体系。</w:t>
      </w:r>
    </w:p>
    <w:p>
      <w:pPr>
        <w:rPr>
          <w:rFonts w:ascii="黑体" w:hAnsi="黑体" w:eastAsia="黑体" w:cs="黑体"/>
          <w:sz w:val="28"/>
          <w:szCs w:val="28"/>
        </w:rPr>
      </w:pPr>
      <w:r>
        <w:rPr>
          <w:rFonts w:hint="eastAsia" w:ascii="黑体" w:hAnsi="黑体" w:eastAsia="黑体" w:cs="黑体"/>
          <w:sz w:val="28"/>
          <w:szCs w:val="28"/>
        </w:rPr>
        <w:t>（一）专业培养目标</w:t>
      </w:r>
    </w:p>
    <w:p>
      <w:pPr>
        <w:widowControl/>
        <w:spacing w:line="400" w:lineRule="exact"/>
        <w:ind w:firstLine="456" w:firstLineChars="200"/>
        <w:rPr>
          <w:rFonts w:ascii="宋体" w:hAnsi="宋体" w:cs="宋体"/>
          <w:sz w:val="24"/>
        </w:rPr>
      </w:pPr>
      <w:r>
        <w:rPr>
          <w:rFonts w:hint="eastAsia" w:ascii="宋体" w:hAnsi="宋体" w:cs="宋体"/>
          <w:sz w:val="24"/>
        </w:rPr>
        <w:t>以立德树人为根本任务，坚持“优良师范传统，鲜明应用特色”的建设思路，培养“明体达用”高素质应用型人才。学校将专业分成三大类，分类建设，构建专业培养目标体系，各大类培养目标定位如下：</w:t>
      </w:r>
    </w:p>
    <w:p>
      <w:pPr>
        <w:widowControl/>
        <w:spacing w:line="400" w:lineRule="exact"/>
        <w:ind w:firstLine="456" w:firstLineChars="200"/>
        <w:rPr>
          <w:rFonts w:ascii="宋体" w:hAnsi="宋体" w:cs="宋体"/>
          <w:sz w:val="24"/>
        </w:rPr>
      </w:pPr>
      <w:r>
        <w:rPr>
          <w:rFonts w:hint="eastAsia" w:ascii="宋体" w:hAnsi="宋体" w:cs="宋体"/>
          <w:sz w:val="24"/>
        </w:rPr>
        <w:t>第一类，教师教育类专业。立足深厚的师范底蕴和现有办学基础，以师范专业认证为抓手，促进教师教育内涵发展，推进师范生协同培养。培养思想道德高尚、学科专业知识扎实、</w:t>
      </w:r>
    </w:p>
    <w:p>
      <w:pPr>
        <w:widowControl/>
        <w:spacing w:line="400" w:lineRule="exact"/>
        <w:rPr>
          <w:rFonts w:ascii="宋体" w:hAnsi="宋体" w:cs="宋体"/>
          <w:sz w:val="24"/>
        </w:rPr>
      </w:pPr>
      <w:r>
        <w:rPr>
          <w:rFonts w:hint="eastAsia" w:ascii="宋体" w:hAnsi="宋体" w:cs="宋体"/>
          <w:sz w:val="24"/>
        </w:rPr>
        <w:t>师范生技能熟练，熟悉和热爱基础教育与职业教育，拥有多学科背景和较强综合素质的“明</w:t>
      </w:r>
    </w:p>
    <w:p>
      <w:pPr>
        <w:widowControl/>
        <w:spacing w:line="400" w:lineRule="exact"/>
        <w:rPr>
          <w:rFonts w:ascii="宋体" w:hAnsi="宋体" w:cs="宋体"/>
          <w:sz w:val="24"/>
        </w:rPr>
      </w:pPr>
      <w:r>
        <w:rPr>
          <w:rFonts w:hint="eastAsia" w:ascii="宋体" w:hAnsi="宋体" w:cs="宋体"/>
          <w:sz w:val="24"/>
        </w:rPr>
        <w:t>体达用”高素质专业师资。</w:t>
      </w:r>
    </w:p>
    <w:p>
      <w:pPr>
        <w:widowControl/>
        <w:spacing w:line="400" w:lineRule="exact"/>
        <w:ind w:firstLine="456" w:firstLineChars="200"/>
        <w:rPr>
          <w:rFonts w:ascii="宋体" w:hAnsi="宋体" w:cs="宋体"/>
          <w:sz w:val="24"/>
        </w:rPr>
      </w:pPr>
      <w:r>
        <w:rPr>
          <w:rFonts w:hint="eastAsia" w:ascii="宋体" w:hAnsi="宋体" w:cs="宋体"/>
          <w:sz w:val="24"/>
        </w:rPr>
        <w:t>第二类，理工农医类专业。以校地共育为主线，构建政府、行业企业和学校协同育人机制，以“新工科”“新农科”和“新医科”建设为目标，培养学生的敬业爱岗意识、知识应用能力、实践动手能力和创新创业能力，能够主动适应新时代区域经济社会和行业发展需求、</w:t>
      </w:r>
    </w:p>
    <w:p>
      <w:pPr>
        <w:widowControl/>
        <w:spacing w:line="400" w:lineRule="exact"/>
        <w:rPr>
          <w:rFonts w:ascii="宋体" w:hAnsi="宋体" w:cs="宋体"/>
          <w:sz w:val="24"/>
        </w:rPr>
      </w:pPr>
      <w:r>
        <w:rPr>
          <w:rFonts w:hint="eastAsia" w:ascii="宋体" w:hAnsi="宋体" w:cs="宋体"/>
          <w:sz w:val="24"/>
        </w:rPr>
        <w:t>德智体美全面发展的“明体达用”高素质技术型人才。</w:t>
      </w:r>
    </w:p>
    <w:p>
      <w:pPr>
        <w:widowControl/>
        <w:spacing w:line="400" w:lineRule="exact"/>
        <w:ind w:firstLine="456" w:firstLineChars="200"/>
        <w:rPr>
          <w:rFonts w:ascii="宋体" w:hAnsi="宋体" w:cs="宋体"/>
          <w:sz w:val="24"/>
        </w:rPr>
      </w:pPr>
      <w:r>
        <w:rPr>
          <w:rFonts w:hint="eastAsia" w:ascii="宋体" w:hAnsi="宋体" w:cs="宋体"/>
          <w:sz w:val="24"/>
        </w:rPr>
        <w:t>第三类，文经管艺类专业。根据区域经济社会发展对文经管艺类人才培养的要求，以“新文科”等建设为目标，努力实现专业人才培养与新时代社会需求的接轨。培养掌握较为深厚的学科基础理论和专业知识，在知识结构、专业能力、人文素养方面具有较强的就业竞争力，具有知识融合、学科交叉的 “明体达用”高素质复合型人才。</w:t>
      </w:r>
    </w:p>
    <w:p>
      <w:pPr>
        <w:rPr>
          <w:rFonts w:ascii="黑体" w:hAnsi="黑体" w:eastAsia="黑体" w:cs="黑体"/>
          <w:sz w:val="28"/>
          <w:szCs w:val="28"/>
        </w:rPr>
      </w:pPr>
      <w:r>
        <w:rPr>
          <w:rFonts w:hint="eastAsia" w:ascii="黑体" w:hAnsi="黑体" w:eastAsia="黑体" w:cs="黑体"/>
          <w:sz w:val="28"/>
          <w:szCs w:val="28"/>
        </w:rPr>
        <w:t>（二）专业人才培养方案特点</w:t>
      </w:r>
    </w:p>
    <w:p>
      <w:pPr>
        <w:adjustRightInd w:val="0"/>
        <w:snapToGrid w:val="0"/>
        <w:rPr>
          <w:rFonts w:ascii="黑体" w:hAnsi="黑体" w:eastAsia="黑体" w:cs="黑体"/>
          <w:sz w:val="24"/>
        </w:rPr>
      </w:pPr>
      <w:r>
        <w:rPr>
          <w:rFonts w:hint="eastAsia" w:ascii="黑体" w:hAnsi="黑体" w:eastAsia="黑体" w:cs="黑体"/>
          <w:sz w:val="24"/>
        </w:rPr>
        <w:t>1. 一条主线三项改革协同创新人才培养</w:t>
      </w:r>
    </w:p>
    <w:p>
      <w:pPr>
        <w:widowControl/>
        <w:spacing w:line="400" w:lineRule="exact"/>
        <w:ind w:firstLine="456" w:firstLineChars="200"/>
        <w:rPr>
          <w:rFonts w:ascii="宋体" w:hAnsi="宋体" w:cs="宋体"/>
          <w:sz w:val="24"/>
        </w:rPr>
      </w:pPr>
      <w:r>
        <w:rPr>
          <w:rFonts w:hint="eastAsia" w:ascii="宋体" w:hAnsi="宋体" w:cs="宋体"/>
          <w:sz w:val="24"/>
        </w:rPr>
        <w:t>以习近平新时代中国特色社会主义思想为指导，深入学习贯彻全国教育大会、新时代全国高等学校本科教育工作会议精神，贯彻落实《教育部关于加快建设高水平本科教育 全面提高人才培养能力的意见》《浙江省教育厅关于加快建设高水平本科教育的实施意见》和“六卓越一拔尖”计划2.0等文件精神，坚持立德树人根本任务，以创建“湖州师范大学”为契机，紧紧抓住学科建设主线，持续推进人才培养模式、人事制度、科研与服务地方管理制度改革，对标先进、拉高标杆，推动各项事业加快发展、内涵发展、赶超发展。</w:t>
      </w:r>
    </w:p>
    <w:p>
      <w:pPr>
        <w:adjustRightInd w:val="0"/>
        <w:snapToGrid w:val="0"/>
        <w:rPr>
          <w:rFonts w:ascii="黑体" w:hAnsi="黑体" w:eastAsia="黑体" w:cs="黑体"/>
          <w:sz w:val="24"/>
        </w:rPr>
      </w:pPr>
      <w:r>
        <w:rPr>
          <w:rFonts w:hint="eastAsia" w:ascii="黑体" w:hAnsi="黑体" w:eastAsia="黑体" w:cs="黑体"/>
          <w:sz w:val="24"/>
        </w:rPr>
        <w:t>2. 根据认证理念修订完善专业人才培养方案</w:t>
      </w:r>
    </w:p>
    <w:p>
      <w:pPr>
        <w:widowControl/>
        <w:spacing w:line="400" w:lineRule="exact"/>
        <w:ind w:firstLine="456" w:firstLineChars="200"/>
        <w:rPr>
          <w:rFonts w:ascii="宋体" w:hAnsi="宋体" w:cs="宋体"/>
          <w:sz w:val="24"/>
        </w:rPr>
      </w:pPr>
      <w:r>
        <w:rPr>
          <w:rFonts w:hint="eastAsia" w:ascii="宋体" w:hAnsi="宋体" w:cs="宋体"/>
          <w:sz w:val="24"/>
        </w:rPr>
        <w:t>以专业认证为抓手，落实教育部《普通高等学校本科专业类教学质量国家标准》，贯彻“学生中心、产出导向、持续改进”理念，完善专业人才培养方案。根据新时代国家、省、市对人才的实际需求，按照四年一版本、每年有微调的频率调整人才培养方案，构建“通识课程+大类基础课程+专业主干课程+专业方向选修课程”的课程体系。落实“课程思政”，将君子之风与人格培养列入人才培养方案中，构建符合当代“君子之风”培育目标的课程体系，规定国学经典类课程须修满2个学分。积极整合、开拓创新创业类教育课程，优化实践教学课程体系，强化学生实践能力的培养，明确创新创业公共必修课须修满2个学分，其中1个理论学分，1个实践学分。各专业人才培养方案的制定与修正均邀请专家、行业代表、用人单位、学生代表等利益相关方参与，经充分调研论证后实行。</w:t>
      </w:r>
    </w:p>
    <w:p>
      <w:pPr>
        <w:rPr>
          <w:rFonts w:ascii="黑体" w:hAnsi="黑体" w:eastAsia="黑体" w:cs="黑体"/>
          <w:sz w:val="28"/>
          <w:szCs w:val="28"/>
        </w:rPr>
      </w:pPr>
      <w:r>
        <w:rPr>
          <w:rFonts w:hint="eastAsia" w:ascii="黑体" w:hAnsi="黑体" w:eastAsia="黑体" w:cs="黑体"/>
          <w:sz w:val="28"/>
          <w:szCs w:val="28"/>
        </w:rPr>
        <w:t>（三）完善“大实践”教学体系</w:t>
      </w:r>
    </w:p>
    <w:p>
      <w:pPr>
        <w:widowControl/>
        <w:spacing w:line="400" w:lineRule="exact"/>
        <w:ind w:firstLine="456" w:firstLineChars="200"/>
        <w:rPr>
          <w:rFonts w:ascii="宋体" w:hAnsi="宋体" w:cs="宋体"/>
          <w:sz w:val="24"/>
        </w:rPr>
      </w:pPr>
      <w:r>
        <w:rPr>
          <w:rFonts w:hint="eastAsia" w:ascii="宋体" w:hAnsi="宋体" w:cs="宋体"/>
          <w:sz w:val="24"/>
        </w:rPr>
        <w:t>学校立足高素质应用型人才的培养目标，统筹校内外实践教学资源，秉持校内与校外、课内与课外、实验与科研、第一课堂与第二课堂相结合的“大实践”教学理念，以着力培养学生基础实践能力、专业实践能力、创新创业实践能力和社会适应能力为导向，构建由实验教学、毕业设计（论文）、专业实习实训、科研训练、学科竞赛和社会实践六个模块组成的</w:t>
      </w:r>
    </w:p>
    <w:p>
      <w:pPr>
        <w:widowControl/>
        <w:spacing w:line="400" w:lineRule="exact"/>
        <w:rPr>
          <w:rFonts w:ascii="宋体" w:hAnsi="宋体" w:cs="宋体"/>
          <w:sz w:val="24"/>
        </w:rPr>
      </w:pPr>
      <w:r>
        <w:rPr>
          <w:rFonts w:hint="eastAsia" w:ascii="宋体" w:hAnsi="宋体" w:cs="宋体"/>
          <w:sz w:val="24"/>
        </w:rPr>
        <w:t>四年一贯的大实践教学体系。</w:t>
      </w:r>
    </w:p>
    <w:p>
      <w:pPr>
        <w:widowControl/>
        <w:spacing w:line="400" w:lineRule="exact"/>
        <w:ind w:firstLine="456" w:firstLineChars="200"/>
        <w:rPr>
          <w:rFonts w:ascii="宋体" w:hAnsi="宋体" w:cs="宋体"/>
          <w:sz w:val="24"/>
        </w:rPr>
      </w:pPr>
      <w:r>
        <w:rPr>
          <w:rFonts w:hint="eastAsia" w:ascii="宋体" w:hAnsi="宋体" w:cs="宋体"/>
          <w:sz w:val="24"/>
        </w:rPr>
        <w:t>学校现有国家级大学生校外实践教育基地１个、省级实践教育基地4个，建有产教融合学院6个、省产教融合示范基地1个、省级示范性教师发展学校9个。截至目前，拥有省产教融合工程项目1项、省产学合作协同育人项目12项，立项教育部高等教育司产学合作协同育人项目115项、国家级大学生创新创业训练计划项目250项，获批教育部新工科研究与</w:t>
      </w:r>
    </w:p>
    <w:p>
      <w:pPr>
        <w:widowControl/>
        <w:spacing w:line="400" w:lineRule="exact"/>
        <w:rPr>
          <w:rFonts w:ascii="宋体" w:hAnsi="宋体" w:cs="宋体"/>
          <w:sz w:val="24"/>
        </w:rPr>
      </w:pPr>
      <w:r>
        <w:rPr>
          <w:rFonts w:hint="eastAsia" w:ascii="宋体" w:hAnsi="宋体" w:cs="宋体"/>
          <w:sz w:val="24"/>
        </w:rPr>
        <w:t>实践项目1项、新农科研究与改革实践项目1项。</w:t>
      </w:r>
    </w:p>
    <w:p>
      <w:pPr>
        <w:rPr>
          <w:rFonts w:ascii="黑体" w:hAnsi="黑体" w:eastAsia="黑体" w:cs="黑体"/>
          <w:sz w:val="28"/>
          <w:szCs w:val="28"/>
        </w:rPr>
      </w:pPr>
      <w:r>
        <w:rPr>
          <w:rFonts w:hint="eastAsia" w:ascii="黑体" w:hAnsi="黑体" w:eastAsia="黑体" w:cs="黑体"/>
          <w:sz w:val="28"/>
          <w:szCs w:val="28"/>
        </w:rPr>
        <w:t>（四）学风建设</w:t>
      </w:r>
    </w:p>
    <w:p>
      <w:pPr>
        <w:adjustRightInd w:val="0"/>
        <w:snapToGrid w:val="0"/>
        <w:rPr>
          <w:rFonts w:ascii="黑体" w:hAnsi="黑体" w:eastAsia="黑体" w:cs="黑体"/>
          <w:sz w:val="24"/>
        </w:rPr>
      </w:pPr>
      <w:r>
        <w:rPr>
          <w:rFonts w:hint="eastAsia" w:ascii="黑体" w:hAnsi="黑体" w:eastAsia="黑体" w:cs="黑体"/>
          <w:sz w:val="24"/>
        </w:rPr>
        <w:t>1. 完善学生学业支持体系</w:t>
      </w:r>
    </w:p>
    <w:p>
      <w:pPr>
        <w:widowControl/>
        <w:spacing w:line="400" w:lineRule="exact"/>
        <w:ind w:firstLine="456" w:firstLineChars="200"/>
        <w:rPr>
          <w:rFonts w:ascii="宋体" w:hAnsi="宋体" w:cs="宋体"/>
          <w:sz w:val="24"/>
        </w:rPr>
      </w:pPr>
      <w:r>
        <w:rPr>
          <w:rFonts w:hint="eastAsia" w:ascii="宋体" w:hAnsi="宋体" w:cs="宋体"/>
          <w:sz w:val="24"/>
        </w:rPr>
        <w:t>完善第一、第二、第三课堂协同育人机制，构建全员、全过程、全方位育人学生学业支持体系。强化教师的主导功能，以教风领学风，强师德铸师魂练师能，严抓第一课堂的教学规范，充分发挥任课教师第一责任人的作用。加强课堂管理和教学模式改革，实施导师制，拓展第一课堂的育人空间。强化学生的主体功能，以榜样带学风。充分发挥基层学生党、团、学组织的自治功能，营造良好的第二课堂学习氛围，力</w:t>
      </w:r>
      <w:r>
        <w:rPr>
          <w:rFonts w:hint="eastAsia" w:ascii="宋体" w:hAnsi="宋体" w:cs="宋体"/>
          <w:color w:val="000000" w:themeColor="text1"/>
          <w:sz w:val="24"/>
          <w14:textFill>
            <w14:solidFill>
              <w14:schemeClr w14:val="tx1"/>
            </w14:solidFill>
          </w14:textFill>
        </w:rPr>
        <w:t>推大学生科研、学科竞赛、考级、考证、考研、创新、创业等活动。</w:t>
      </w:r>
      <w:r>
        <w:rPr>
          <w:rFonts w:hint="eastAsia" w:ascii="宋体" w:hAnsi="宋体" w:cs="宋体"/>
          <w:sz w:val="24"/>
        </w:rPr>
        <w:t>2021届本科毕业生考取硕士研究生343名，考研录取率为15.12%。强化教</w:t>
      </w:r>
      <w:r>
        <w:rPr>
          <w:rFonts w:hint="eastAsia" w:ascii="宋体" w:hAnsi="宋体" w:cs="宋体"/>
          <w:color w:val="000000" w:themeColor="text1"/>
          <w:sz w:val="24"/>
          <w14:textFill>
            <w14:solidFill>
              <w14:schemeClr w14:val="tx1"/>
            </w14:solidFill>
          </w14:textFill>
        </w:rPr>
        <w:t>育管理部门的组织功能，以管理塑学风。做好教与学的融合，协同研</w:t>
      </w:r>
      <w:r>
        <w:rPr>
          <w:rFonts w:hint="eastAsia" w:ascii="宋体" w:hAnsi="宋体" w:cs="宋体"/>
          <w:sz w:val="24"/>
        </w:rPr>
        <w:t>究制定促进学风建设的长效机制和制度。认真做好教学督导、领导听课、实习实践、学籍预警、考风考纪、家校联系等工作，建立健全学生第三课堂锻炼的机制，同时充分发挥辅导员和班主任队伍的作用。</w:t>
      </w:r>
    </w:p>
    <w:p>
      <w:pPr>
        <w:adjustRightInd w:val="0"/>
        <w:snapToGrid w:val="0"/>
        <w:rPr>
          <w:rFonts w:ascii="黑体" w:hAnsi="黑体" w:eastAsia="黑体" w:cs="黑体"/>
          <w:sz w:val="24"/>
        </w:rPr>
      </w:pPr>
      <w:r>
        <w:rPr>
          <w:rFonts w:hint="eastAsia" w:ascii="黑体" w:hAnsi="黑体" w:eastAsia="黑体" w:cs="黑体"/>
          <w:sz w:val="24"/>
        </w:rPr>
        <w:t>2. 完善学生发展激励体系</w:t>
      </w:r>
    </w:p>
    <w:p>
      <w:pPr>
        <w:widowControl/>
        <w:spacing w:line="400" w:lineRule="exact"/>
        <w:ind w:firstLine="456" w:firstLineChars="200"/>
        <w:rPr>
          <w:rFonts w:ascii="宋体" w:hAnsi="宋体" w:cs="宋体"/>
          <w:kern w:val="0"/>
          <w:sz w:val="24"/>
        </w:rPr>
      </w:pPr>
      <w:r>
        <w:rPr>
          <w:rFonts w:hint="eastAsia" w:ascii="宋体" w:hAnsi="宋体" w:cs="宋体"/>
          <w:sz w:val="24"/>
        </w:rPr>
        <w:t>全面实施学生综合素质评价，不断完善“奖、贷、助、补、勤、减”等机制，创造条件为学生提供人生出彩的机会。2020-2021学年，学校评选各类奖学金2830人，其中国家奖学金17人，国家励志奖学金301人，浙江省政府奖学金249人，学校校长奖学金、特等奖学金、一二三等奖学金2007人，各类社会奖学金256人。评选出2021届省级优秀毕业生103名，校级优秀毕业生397名。发放资助金634.21万元，其中国家助学金383.36万元，各类社会爱心助学资金69.15万元，特殊困难补助52.33万元，为2090人次发放勤工助学报酬65万元。就学地国家助学贷款提供资金4万元；生源地助学贷款提供资金661.44万元。全校1216名家庭经济困难学生100%得到资助。</w:t>
      </w:r>
    </w:p>
    <w:p>
      <w:pPr>
        <w:rPr>
          <w:rFonts w:ascii="黑体" w:hAnsi="黑体" w:eastAsia="黑体" w:cs="黑体"/>
          <w:sz w:val="28"/>
          <w:szCs w:val="28"/>
        </w:rPr>
      </w:pPr>
      <w:r>
        <w:rPr>
          <w:rFonts w:hint="eastAsia" w:ascii="黑体" w:hAnsi="黑体" w:eastAsia="黑体" w:cs="黑体"/>
          <w:sz w:val="28"/>
          <w:szCs w:val="28"/>
        </w:rPr>
        <w:t>（五）扩大学生自主选择权</w:t>
      </w:r>
    </w:p>
    <w:p>
      <w:pPr>
        <w:widowControl/>
        <w:spacing w:line="400" w:lineRule="exact"/>
        <w:ind w:firstLine="456" w:firstLineChars="200"/>
        <w:rPr>
          <w:rFonts w:hint="eastAsia" w:ascii="宋体" w:hAnsi="宋体" w:cs="宋体"/>
          <w:sz w:val="24"/>
        </w:rPr>
      </w:pPr>
      <w:r>
        <w:rPr>
          <w:rFonts w:hint="eastAsia" w:ascii="宋体" w:hAnsi="宋体" w:cs="宋体"/>
          <w:sz w:val="24"/>
        </w:rPr>
        <w:t>认真贯彻落实《关于浙江省普通高校学生转专业的指导意见》，出台《本科生转专业实施办法（试行）》，实施专业分流制度，加大转专业力度，推进双学位辅修等项目，扩大学生自主选择权，提供多元化成才空间。2020-2021学年，学校对688名大类招生的学生进行专业分流，将6大类的学生分流至其相应的17个专业学习，194人转专业成功，成功率达报名转专业学生总数的67.36%。</w:t>
      </w:r>
    </w:p>
    <w:p>
      <w:pPr>
        <w:rPr>
          <w:rFonts w:ascii="黑体" w:hAnsi="黑体" w:eastAsia="黑体" w:cs="黑体"/>
          <w:sz w:val="30"/>
          <w:szCs w:val="30"/>
        </w:rPr>
      </w:pPr>
      <w:r>
        <w:rPr>
          <w:rFonts w:hint="eastAsia" w:ascii="黑体" w:hAnsi="黑体" w:eastAsia="黑体" w:cs="黑体"/>
          <w:sz w:val="30"/>
          <w:szCs w:val="30"/>
        </w:rPr>
        <w:t>五、质量保障体系</w:t>
      </w:r>
    </w:p>
    <w:p>
      <w:pPr>
        <w:rPr>
          <w:rFonts w:ascii="黑体" w:hAnsi="黑体" w:eastAsia="黑体" w:cs="黑体"/>
          <w:sz w:val="28"/>
          <w:szCs w:val="28"/>
        </w:rPr>
      </w:pPr>
      <w:r>
        <w:rPr>
          <w:rFonts w:hint="eastAsia" w:ascii="黑体" w:hAnsi="黑体" w:eastAsia="黑体" w:cs="黑体"/>
          <w:sz w:val="28"/>
          <w:szCs w:val="28"/>
        </w:rPr>
        <w:t>（一）落实人才培养中心地位</w:t>
      </w:r>
    </w:p>
    <w:p>
      <w:pPr>
        <w:adjustRightInd w:val="0"/>
        <w:snapToGrid w:val="0"/>
        <w:rPr>
          <w:rFonts w:ascii="黑体" w:hAnsi="黑体" w:eastAsia="黑体" w:cs="黑体"/>
          <w:sz w:val="24"/>
        </w:rPr>
      </w:pPr>
      <w:r>
        <w:rPr>
          <w:rFonts w:hint="eastAsia" w:ascii="黑体" w:hAnsi="黑体" w:eastAsia="黑体" w:cs="黑体"/>
          <w:sz w:val="24"/>
        </w:rPr>
        <w:t>1. 坚持“以本为本”、践行“四个回归”</w:t>
      </w:r>
    </w:p>
    <w:p>
      <w:pPr>
        <w:spacing w:line="400" w:lineRule="exact"/>
        <w:ind w:firstLine="456" w:firstLineChars="200"/>
        <w:rPr>
          <w:rFonts w:ascii="宋体" w:hAnsi="宋体" w:cs="宋体"/>
          <w:sz w:val="24"/>
        </w:rPr>
      </w:pPr>
      <w:r>
        <w:rPr>
          <w:rFonts w:hint="eastAsia" w:ascii="宋体" w:hAnsi="宋体" w:cs="宋体"/>
          <w:sz w:val="24"/>
        </w:rPr>
        <w:t>深入贯彻落实习近平新时代中国特色社会主义思想，认真学习习近平总书记关于教育的重要论述，全面落实国家及省市教育工作部署，加强顶层设计，形成认识到位、措施得力、保障厚实、地位巩固的本科教学工作格局。2021年1月，学校第四次党代会提出“3918”战略体系，把打造10大重点学科、10大优势专业、实施本科回归工程、学科造峰工程、师资育引工程等作为重要战略举措，纳入学校发展蓝图。坚持立德树人，强化“学生中心、产出导向、持续改进”理念，对标新文科、新工科、新医科、新农科建设要求，加强质量文化建设，不断提升人才培养质量。</w:t>
      </w:r>
    </w:p>
    <w:p>
      <w:pPr>
        <w:adjustRightInd w:val="0"/>
        <w:snapToGrid w:val="0"/>
        <w:rPr>
          <w:rFonts w:ascii="黑体" w:hAnsi="黑体" w:eastAsia="黑体" w:cs="黑体"/>
          <w:sz w:val="24"/>
        </w:rPr>
      </w:pPr>
      <w:r>
        <w:rPr>
          <w:rFonts w:hint="eastAsia" w:ascii="黑体" w:hAnsi="黑体" w:eastAsia="黑体" w:cs="黑体"/>
          <w:sz w:val="24"/>
        </w:rPr>
        <w:t>2. 学校党委行政高度重视教学工作</w:t>
      </w:r>
    </w:p>
    <w:p>
      <w:pPr>
        <w:spacing w:line="400" w:lineRule="exact"/>
        <w:ind w:firstLine="456" w:firstLineChars="200"/>
        <w:rPr>
          <w:rFonts w:ascii="宋体" w:hAnsi="宋体" w:cs="宋体"/>
          <w:sz w:val="24"/>
        </w:rPr>
      </w:pPr>
      <w:r>
        <w:rPr>
          <w:rFonts w:hint="eastAsia" w:ascii="宋体" w:hAnsi="宋体" w:cs="宋体"/>
          <w:sz w:val="24"/>
        </w:rPr>
        <w:t>切实履行党政主要领导是教学工作第一责任人职责，重点关注学校生源质量提升、课堂教学创新、“金专”“金课”“金奖”培育、专业认证、制度建设与完善等工作，定期开展育人创新工作的调查与研究。2020-2021学年，校领导班子</w:t>
      </w:r>
      <w:r>
        <w:rPr>
          <w:rFonts w:hint="eastAsia" w:ascii="宋体" w:hAnsi="宋体" w:cs="宋体"/>
          <w:color w:val="000000" w:themeColor="text1"/>
          <w:sz w:val="24"/>
          <w14:textFill>
            <w14:solidFill>
              <w14:schemeClr w14:val="tx1"/>
            </w14:solidFill>
          </w14:textFill>
        </w:rPr>
        <w:t>深入教学一线听课56节</w:t>
      </w:r>
      <w:r>
        <w:rPr>
          <w:rFonts w:hint="eastAsia" w:ascii="宋体" w:hAnsi="宋体" w:cs="宋体"/>
          <w:sz w:val="24"/>
        </w:rPr>
        <w:t>、分赴21个县区检查和指导实习工作，交流“校地共育”人才培养模式改革，校党委会、校长办公会讨论与教育教学工作紧密相关的议题达32个。实施 “七个一”联系制度，即每位校领导分别联系一个学院、一个寝室、一名教授、一名青年教师、一个基层党支部、一名党外人士、一名老同志。校党委书记、校长带头为新教工做入职教育报告、给新生上始业教育课。通过“书记校长话成才”“我与校长有个约会”等活动，帮助新教师和学生成长成才。</w:t>
      </w:r>
    </w:p>
    <w:p>
      <w:pPr>
        <w:rPr>
          <w:rFonts w:ascii="黑体" w:hAnsi="黑体" w:eastAsia="黑体" w:cs="黑体"/>
          <w:sz w:val="28"/>
          <w:szCs w:val="28"/>
        </w:rPr>
      </w:pPr>
      <w:r>
        <w:rPr>
          <w:rFonts w:hint="eastAsia" w:ascii="黑体" w:hAnsi="黑体" w:eastAsia="黑体" w:cs="黑体"/>
          <w:sz w:val="28"/>
          <w:szCs w:val="28"/>
        </w:rPr>
        <w:t>（二）强化教学过程质量监控</w:t>
      </w:r>
    </w:p>
    <w:p>
      <w:pPr>
        <w:adjustRightInd w:val="0"/>
        <w:snapToGrid w:val="0"/>
        <w:rPr>
          <w:rFonts w:ascii="黑体" w:hAnsi="黑体" w:eastAsia="黑体" w:cs="黑体"/>
          <w:sz w:val="24"/>
        </w:rPr>
      </w:pPr>
      <w:r>
        <w:rPr>
          <w:rFonts w:hint="eastAsia" w:ascii="黑体" w:hAnsi="黑体" w:eastAsia="黑体" w:cs="黑体"/>
          <w:sz w:val="24"/>
        </w:rPr>
        <w:t>1. 持续推进质量保障体系建设</w:t>
      </w:r>
    </w:p>
    <w:p>
      <w:pPr>
        <w:spacing w:line="400" w:lineRule="exact"/>
        <w:ind w:firstLine="456" w:firstLineChars="200"/>
        <w:rPr>
          <w:rFonts w:ascii="宋体" w:hAnsi="宋体" w:cs="宋体"/>
          <w:sz w:val="24"/>
        </w:rPr>
      </w:pPr>
      <w:r>
        <w:rPr>
          <w:rFonts w:hint="eastAsia" w:ascii="宋体" w:hAnsi="宋体" w:cs="宋体"/>
          <w:sz w:val="24"/>
        </w:rPr>
        <w:t>秉承“学生中心、产出导向、持续改进”专业认证理念，积极推进“OBE理念视野下本科生人才培养系统工程”建设，厘清“为什么要做人才培养，如何做好人才培养，如何保障人才培养质量，如何理顺学科、专业、课程间的关系，如何做好课程思政，如何打造金课，如何提升教师教学能力，如何激励教师教书育人，如何做好条件保障”等人才培养核心问题，促进学校本科人才培养系统化、完备化，为区域经济社会发展提供强有力的人才保障。</w:t>
      </w:r>
    </w:p>
    <w:p>
      <w:pPr>
        <w:rPr>
          <w:rFonts w:ascii="宋体" w:hAnsi="宋体" w:cs="宋体"/>
          <w:sz w:val="24"/>
        </w:rPr>
      </w:pPr>
    </w:p>
    <w:p>
      <w:pPr>
        <w:jc w:val="center"/>
        <w:rPr>
          <w:rFonts w:ascii="宋体" w:hAnsi="宋体" w:cs="宋体"/>
          <w:b/>
          <w:szCs w:val="21"/>
        </w:rPr>
      </w:pPr>
      <w:r>
        <w:rPr>
          <w:rFonts w:hint="eastAsia" w:ascii="宋体" w:hAnsi="宋体" w:cs="宋体"/>
          <w:b/>
          <w:szCs w:val="21"/>
        </w:rPr>
        <w:drawing>
          <wp:inline distT="0" distB="0" distL="114300" distR="114300">
            <wp:extent cx="5372100" cy="5931535"/>
            <wp:effectExtent l="0" t="0" r="0" b="12065"/>
            <wp:docPr id="8" name="图片 8"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图片2"/>
                    <pic:cNvPicPr>
                      <a:picLocks noChangeAspect="1"/>
                    </pic:cNvPicPr>
                  </pic:nvPicPr>
                  <pic:blipFill>
                    <a:blip r:embed="rId11"/>
                    <a:srcRect t="11384"/>
                    <a:stretch>
                      <a:fillRect/>
                    </a:stretch>
                  </pic:blipFill>
                  <pic:spPr>
                    <a:xfrm>
                      <a:off x="0" y="0"/>
                      <a:ext cx="5372100" cy="5931535"/>
                    </a:xfrm>
                    <a:prstGeom prst="rect">
                      <a:avLst/>
                    </a:prstGeom>
                  </pic:spPr>
                </pic:pic>
              </a:graphicData>
            </a:graphic>
          </wp:inline>
        </w:drawing>
      </w:r>
    </w:p>
    <w:p>
      <w:pPr>
        <w:jc w:val="center"/>
        <w:rPr>
          <w:rFonts w:ascii="宋体" w:hAnsi="宋体" w:cs="宋体"/>
          <w:szCs w:val="21"/>
        </w:rPr>
      </w:pPr>
      <w:r>
        <w:rPr>
          <w:rFonts w:hint="eastAsia" w:ascii="宋体" w:hAnsi="宋体" w:cs="宋体"/>
          <w:b/>
          <w:szCs w:val="21"/>
        </w:rPr>
        <w:t>图5  OBE理念视野下本科生人才培养系统工程示意简图</w:t>
      </w:r>
    </w:p>
    <w:p>
      <w:pPr>
        <w:adjustRightInd w:val="0"/>
        <w:snapToGrid w:val="0"/>
        <w:spacing w:line="400" w:lineRule="exact"/>
        <w:ind w:firstLine="456" w:firstLineChars="200"/>
        <w:rPr>
          <w:rFonts w:ascii="宋体" w:hAnsi="宋体" w:cs="宋体"/>
          <w:b/>
          <w:bCs/>
          <w:sz w:val="24"/>
        </w:rPr>
      </w:pPr>
    </w:p>
    <w:p>
      <w:pPr>
        <w:adjustRightInd w:val="0"/>
        <w:snapToGrid w:val="0"/>
        <w:rPr>
          <w:rFonts w:ascii="黑体" w:hAnsi="黑体" w:eastAsia="黑体" w:cs="黑体"/>
          <w:sz w:val="24"/>
        </w:rPr>
      </w:pPr>
      <w:r>
        <w:rPr>
          <w:rFonts w:hint="eastAsia" w:ascii="黑体" w:hAnsi="黑体" w:eastAsia="黑体" w:cs="黑体"/>
          <w:sz w:val="24"/>
        </w:rPr>
        <w:t>2. 设置管评分离的评估机构</w:t>
      </w:r>
    </w:p>
    <w:p>
      <w:pPr>
        <w:spacing w:line="400" w:lineRule="exact"/>
        <w:ind w:firstLine="456" w:firstLineChars="200"/>
        <w:rPr>
          <w:rFonts w:ascii="宋体" w:hAnsi="宋体" w:cs="宋体"/>
          <w:kern w:val="0"/>
          <w:sz w:val="24"/>
        </w:rPr>
      </w:pPr>
      <w:r>
        <w:rPr>
          <w:rFonts w:hint="eastAsia" w:ascii="宋体" w:hAnsi="宋体" w:cs="宋体"/>
          <w:kern w:val="0"/>
          <w:sz w:val="24"/>
        </w:rPr>
        <w:t>为实现教学质量保障工作的系统化、科学化和常态化，2020年11月，学校将评估职能从教务处独立出来，成立管评分离的、独立的教学监控与评估机构——教育评估中心，承担起组织全校教育教学质量评估与监控的行政职能，从机制层面强化教学质量监控体系建设。</w:t>
      </w:r>
    </w:p>
    <w:p>
      <w:pPr>
        <w:adjustRightInd w:val="0"/>
        <w:snapToGrid w:val="0"/>
        <w:rPr>
          <w:rFonts w:ascii="黑体" w:hAnsi="黑体" w:eastAsia="黑体" w:cs="黑体"/>
          <w:sz w:val="24"/>
        </w:rPr>
      </w:pPr>
      <w:r>
        <w:rPr>
          <w:rFonts w:hint="eastAsia" w:ascii="黑体" w:hAnsi="黑体" w:eastAsia="黑体" w:cs="黑体"/>
          <w:sz w:val="24"/>
        </w:rPr>
        <w:t>3. 日常教学管理与质量监控</w:t>
      </w:r>
    </w:p>
    <w:p>
      <w:pPr>
        <w:spacing w:line="400" w:lineRule="exact"/>
        <w:ind w:firstLine="456" w:firstLineChars="200"/>
        <w:rPr>
          <w:rFonts w:ascii="宋体" w:hAnsi="宋体" w:cs="宋体"/>
          <w:sz w:val="24"/>
        </w:rPr>
      </w:pPr>
      <w:r>
        <w:rPr>
          <w:rFonts w:hint="eastAsia" w:ascii="宋体" w:hAnsi="宋体" w:cs="宋体"/>
          <w:sz w:val="24"/>
        </w:rPr>
        <w:t>严格日常教学管理。一是</w:t>
      </w:r>
      <w:r>
        <w:rPr>
          <w:rFonts w:hint="eastAsia" w:ascii="宋体" w:hAnsi="宋体" w:cs="宋体"/>
          <w:bCs/>
          <w:sz w:val="24"/>
        </w:rPr>
        <w:t>推进校园教学管理信息化建设。依据</w:t>
      </w:r>
      <w:r>
        <w:rPr>
          <w:rFonts w:hint="eastAsia" w:ascii="宋体" w:hAnsi="宋体" w:cs="宋体"/>
          <w:kern w:val="0"/>
          <w:sz w:val="24"/>
        </w:rPr>
        <w:t>《智慧校园建设三年规划(2018-2020)》，大力推动教学服务事项办理“最多跑一次”，</w:t>
      </w:r>
      <w:r>
        <w:rPr>
          <w:rFonts w:hint="eastAsia" w:ascii="宋体" w:hAnsi="宋体" w:cs="宋体"/>
          <w:bCs/>
          <w:sz w:val="24"/>
        </w:rPr>
        <w:t>实现教学管理高效率、高水平、高质量发展。</w:t>
      </w:r>
      <w:r>
        <w:rPr>
          <w:rFonts w:hint="eastAsia" w:ascii="宋体" w:hAnsi="宋体" w:cs="宋体"/>
          <w:kern w:val="0"/>
          <w:sz w:val="24"/>
        </w:rPr>
        <w:t>利用正方授课计划管理系统，实现授课计划、教学进度、课堂教案、教学评价、教学管理的信息化。二是推动教学管理新系统改革。针对教务管理系统改革工程，全学年组织二级学院一线教学管理队伍交流座谈会4次，汇总教学日常管理工作需求与建议，积极与教务管理系统开发公司对接个性特色需求。三是建立评课制度。利用课堂“五重境界”对课堂教学开展有针对性、常态化的评价与检查，实现教师调课的在线审批、学生到课率和学生对课堂评价的实时反馈，杜绝“水课”，打造“金课”。四是</w:t>
      </w:r>
      <w:r>
        <w:rPr>
          <w:rFonts w:hint="eastAsia" w:ascii="宋体" w:hAnsi="宋体" w:cs="宋体"/>
          <w:bCs/>
          <w:sz w:val="24"/>
        </w:rPr>
        <w:t>强化基层教学组织建设。</w:t>
      </w:r>
      <w:r>
        <w:rPr>
          <w:rFonts w:hint="eastAsia" w:ascii="宋体" w:hAnsi="宋体" w:cs="宋体"/>
          <w:kern w:val="0"/>
          <w:sz w:val="24"/>
        </w:rPr>
        <w:t>出台</w:t>
      </w:r>
      <w:r>
        <w:rPr>
          <w:rFonts w:hint="eastAsia" w:ascii="宋体" w:hAnsi="宋体" w:cs="宋体"/>
          <w:bCs/>
          <w:sz w:val="24"/>
        </w:rPr>
        <w:t>《基层教学组织管理办法》，更好发挥基层教学组织在立德树人、教师教学能力提升和课堂教学创新等人才培养环节中的重要作用。</w:t>
      </w:r>
    </w:p>
    <w:p>
      <w:pPr>
        <w:spacing w:line="400" w:lineRule="exact"/>
        <w:ind w:firstLine="456" w:firstLineChars="200"/>
        <w:rPr>
          <w:rFonts w:ascii="宋体" w:hAnsi="宋体" w:cs="宋体"/>
          <w:kern w:val="0"/>
          <w:sz w:val="24"/>
        </w:rPr>
      </w:pPr>
      <w:r>
        <w:rPr>
          <w:rFonts w:hint="eastAsia" w:ascii="宋体" w:hAnsi="宋体" w:cs="宋体"/>
          <w:bCs/>
          <w:sz w:val="24"/>
        </w:rPr>
        <w:t>落实领导干部听课制度，强化督导督查职能。规定校领导、校中层每学期的听课次数，落实领导干部听课制度。2020-2021学年，领导干部听课累计1116节。继续实施校院两级督导制度，深入</w:t>
      </w:r>
      <w:r>
        <w:rPr>
          <w:rFonts w:hint="eastAsia" w:ascii="宋体" w:hAnsi="宋体" w:cs="宋体"/>
          <w:kern w:val="0"/>
          <w:sz w:val="24"/>
        </w:rPr>
        <w:t>课堂教学、实验教学、毕业设计（论文）、实习实践、课程考核等教学环节，抽查试卷批阅情况。</w:t>
      </w:r>
      <w:r>
        <w:rPr>
          <w:rFonts w:hint="eastAsia" w:ascii="宋体" w:hAnsi="宋体" w:cs="宋体"/>
          <w:bCs/>
          <w:sz w:val="24"/>
        </w:rPr>
        <w:t>校教学督导委员会成员分成8个听课小组，深入13个二级学院教学课堂，本学年累计听课240节次，集中抽查教学秩序121次，线上看课763节次，</w:t>
      </w:r>
      <w:r>
        <w:rPr>
          <w:rFonts w:hint="eastAsia" w:ascii="宋体" w:hAnsi="宋体" w:cs="宋体"/>
          <w:kern w:val="0"/>
          <w:sz w:val="24"/>
        </w:rPr>
        <w:t>编制《教学督导简讯》4期。</w:t>
      </w:r>
    </w:p>
    <w:p>
      <w:pPr>
        <w:spacing w:line="400" w:lineRule="exact"/>
        <w:ind w:firstLine="456" w:firstLineChars="200"/>
        <w:rPr>
          <w:rFonts w:ascii="宋体" w:hAnsi="宋体" w:cs="宋体"/>
          <w:kern w:val="0"/>
          <w:sz w:val="24"/>
        </w:rPr>
      </w:pPr>
      <w:r>
        <w:rPr>
          <w:rFonts w:hint="eastAsia" w:ascii="宋体" w:hAnsi="宋体" w:cs="宋体"/>
          <w:kern w:val="0"/>
          <w:sz w:val="24"/>
        </w:rPr>
        <w:t>持续开展各类考核和评价工作。一是学生评教。教务处每学期组织学生评教，评教结果作为教师教学效果评价的主要依据。二是按年度开展教师教学工作业绩考核，主要包括教学工作量、教学效果、教学建设与研究三部分。考核结果作为教师评奖、评优、岗聘、职称评定的重要依据。三是实施《参加教师系列高级专业技术职务评聘教师教学效果评价》，规定参加教师系列高级专业技术职务评聘的教师，学校组织专家对其所授课程的教学效果进行综合评价，得分在70分以上的教师方可参加高级职称评审。四是开展二级学院教学与实验室工作考核。通过对学院教学与实验室工作考核和评优，明确各学院教学工作目标，强化责任意识，促进学院重视本科教学工作，不断提高教育教学质量。五是教师自评。每学期授课结束后，教师根据期末考试（考查）成绩的统计分析，分析课程目标达成度情况，评价学生学习效果，提出教学持续改进的具体举措。</w:t>
      </w:r>
    </w:p>
    <w:p>
      <w:pPr>
        <w:spacing w:line="400" w:lineRule="exact"/>
        <w:ind w:firstLine="456" w:firstLineChars="200"/>
        <w:rPr>
          <w:rFonts w:ascii="宋体" w:hAnsi="宋体" w:cs="宋体"/>
          <w:sz w:val="24"/>
        </w:rPr>
      </w:pPr>
      <w:r>
        <w:rPr>
          <w:rFonts w:hint="eastAsia" w:ascii="宋体" w:hAnsi="宋体" w:cs="宋体"/>
          <w:kern w:val="0"/>
          <w:sz w:val="24"/>
        </w:rPr>
        <w:t>多维度开展教学专项检查。一是开展学期初和学期末教学巡查、期中教学检查。期中教学检查采用学院自查、学校派工作组实地检查的方式，重点检查教师授课情况、课程思政情况、教学工作激励机制情况、教学工作的“四个一致”情况、毕业班毕业与学位预审情况、期中考试安排情况、实践教学情况、振兴本科教育等，检查结果纳入二级学院年度教学与实验室工作考核指标体系中。二是开展课程评估工作。根据</w:t>
      </w:r>
      <w:r>
        <w:rPr>
          <w:rFonts w:hint="eastAsia" w:ascii="宋体" w:hAnsi="宋体" w:cs="宋体"/>
          <w:sz w:val="24"/>
        </w:rPr>
        <w:t>《本科课程建设与管理办法（试行）》，制定学校课程</w:t>
      </w:r>
      <w:r>
        <w:rPr>
          <w:rFonts w:hint="eastAsia" w:ascii="宋体" w:hAnsi="宋体" w:cs="宋体"/>
          <w:kern w:val="0"/>
          <w:sz w:val="24"/>
        </w:rPr>
        <w:t>质量评估参考标准，要求学院按照参考标准，以专业为单位制定符合专业特点的课程评估标准，</w:t>
      </w:r>
      <w:r>
        <w:rPr>
          <w:rFonts w:hint="eastAsia" w:ascii="宋体" w:hAnsi="宋体" w:cs="宋体"/>
          <w:sz w:val="24"/>
        </w:rPr>
        <w:t>作为后续开展各专业课程评估的依据。三是顶层设计《教学模式改革课程项目建设路线图》，分层培育试点课、示范建设课、示范课，加强示范课程建设，培育精品课程，为校教改项目、省教改项目提供研究范本，作为教学名师（新秀）的参考标准。四是根据《教育部关于印发&lt;本科毕业论文（设计）抽检办法（试行）&gt;的通知》精神与要求，做好2021届本科毕业论文抽检工作。</w:t>
      </w:r>
    </w:p>
    <w:p>
      <w:pPr>
        <w:adjustRightInd w:val="0"/>
        <w:snapToGrid w:val="0"/>
        <w:rPr>
          <w:rFonts w:ascii="黑体" w:hAnsi="黑体" w:eastAsia="黑体" w:cs="黑体"/>
          <w:sz w:val="24"/>
        </w:rPr>
      </w:pPr>
      <w:r>
        <w:rPr>
          <w:rFonts w:hint="eastAsia" w:ascii="黑体" w:hAnsi="黑体" w:eastAsia="黑体" w:cs="黑体"/>
          <w:sz w:val="24"/>
        </w:rPr>
        <w:t>4. 线上线下混合教学质量监控</w:t>
      </w:r>
    </w:p>
    <w:p>
      <w:pPr>
        <w:spacing w:line="400" w:lineRule="exact"/>
        <w:ind w:firstLine="456" w:firstLineChars="200"/>
        <w:rPr>
          <w:rFonts w:ascii="宋体" w:hAnsi="宋体" w:cs="宋体"/>
          <w:kern w:val="0"/>
          <w:sz w:val="24"/>
        </w:rPr>
      </w:pPr>
      <w:r>
        <w:rPr>
          <w:rFonts w:hint="eastAsia" w:ascii="宋体" w:hAnsi="宋体" w:cs="宋体"/>
          <w:kern w:val="0"/>
          <w:sz w:val="24"/>
        </w:rPr>
        <w:t>落实线上教学“十个一”工程。建好一个课程资源中心、完善一批线上教学空间、制定一套质量监控与评估标准、打造一批网络教学名师团队、做好一组线上教学培训计划、出台一个指导学生线上学习管理办法、制定一个线上教学工作管理办法、研究一套线上教学工作量计算办法、设立一批教研教改项目和组建一批网络基层教学组织等，整体推进我校“互联网+”教育教学水平。</w:t>
      </w:r>
    </w:p>
    <w:p>
      <w:pPr>
        <w:spacing w:line="400" w:lineRule="exact"/>
        <w:ind w:firstLine="456" w:firstLineChars="200"/>
        <w:rPr>
          <w:rFonts w:ascii="宋体" w:hAnsi="宋体" w:cs="宋体"/>
          <w:kern w:val="0"/>
          <w:sz w:val="24"/>
        </w:rPr>
      </w:pPr>
      <w:r>
        <w:rPr>
          <w:rFonts w:hint="eastAsia" w:ascii="宋体" w:hAnsi="宋体" w:cs="宋体"/>
          <w:kern w:val="0"/>
          <w:sz w:val="24"/>
        </w:rPr>
        <w:t>建立“学校-教学单位-基层教学组织” 三级线上教学质量监控体系，发挥校、院、学位点、系（教研室）线上教学工作小组作用，做好监督检查和精准服务。通过班级课程群、学院教学管理微信群（含教学副院长、系主任、教研室主任、专业负责人、教学秘书等）实时跟踪反馈教学情况，加强对线上授课情况的督查。同时，倡导对线上课程内容进行必要的回顾复习，以切实、有效地保障教学质量。</w:t>
      </w:r>
    </w:p>
    <w:p>
      <w:pPr>
        <w:adjustRightInd w:val="0"/>
        <w:snapToGrid w:val="0"/>
        <w:rPr>
          <w:rFonts w:ascii="黑体" w:hAnsi="黑体" w:eastAsia="黑体" w:cs="黑体"/>
          <w:sz w:val="24"/>
        </w:rPr>
      </w:pPr>
      <w:r>
        <w:rPr>
          <w:rFonts w:hint="eastAsia" w:ascii="黑体" w:hAnsi="黑体" w:eastAsia="黑体" w:cs="黑体"/>
          <w:sz w:val="24"/>
        </w:rPr>
        <w:t>5. 持续开展课堂教学质量专项行动</w:t>
      </w:r>
    </w:p>
    <w:p>
      <w:pPr>
        <w:spacing w:line="400" w:lineRule="exact"/>
        <w:ind w:firstLine="456" w:firstLineChars="200"/>
        <w:rPr>
          <w:rFonts w:ascii="宋体" w:hAnsi="宋体" w:cs="宋体"/>
          <w:bCs/>
          <w:sz w:val="24"/>
        </w:rPr>
      </w:pPr>
      <w:r>
        <w:rPr>
          <w:rFonts w:hint="eastAsia" w:ascii="宋体" w:hAnsi="宋体" w:cs="宋体"/>
          <w:bCs/>
          <w:sz w:val="24"/>
        </w:rPr>
        <w:t>做强浙江省首批“课堂教学创新校”品牌，持续开展“向课堂要质量”专项行动，继续推进各专业小班化教学、分层分类教学，进一步强化对各级各类课堂教学改革项目实施情况的监控与检查，切实把提高课堂教学效果的各项措施落到实处。大力推进智慧教室建设，持续推动课堂教学革命，推广混合式教学、翻转课堂等教学模式。完善学生</w:t>
      </w:r>
      <w:r>
        <w:rPr>
          <w:rFonts w:hint="eastAsia" w:ascii="宋体" w:hAnsi="宋体" w:cs="宋体"/>
          <w:bCs/>
          <w:spacing w:val="-6"/>
          <w:sz w:val="24"/>
        </w:rPr>
        <w:t>学业评价和管理，强化以综合素质和能力培养为主的评价导向，健全形成性评价与终结性评价相结合的评价办法，加大形成性评价比重</w:t>
      </w:r>
      <w:r>
        <w:rPr>
          <w:rFonts w:hint="eastAsia" w:ascii="宋体" w:hAnsi="宋体" w:cs="宋体"/>
          <w:bCs/>
          <w:sz w:val="24"/>
        </w:rPr>
        <w:t>。</w:t>
      </w:r>
    </w:p>
    <w:p>
      <w:pPr>
        <w:rPr>
          <w:rFonts w:ascii="黑体" w:hAnsi="黑体" w:eastAsia="黑体" w:cs="黑体"/>
          <w:sz w:val="28"/>
          <w:szCs w:val="28"/>
        </w:rPr>
      </w:pPr>
      <w:r>
        <w:rPr>
          <w:rFonts w:hint="eastAsia" w:ascii="黑体" w:hAnsi="黑体" w:eastAsia="黑体" w:cs="黑体"/>
          <w:sz w:val="28"/>
          <w:szCs w:val="28"/>
        </w:rPr>
        <w:t>（三）促进教师教学能力发展</w:t>
      </w:r>
    </w:p>
    <w:p>
      <w:pPr>
        <w:adjustRightInd w:val="0"/>
        <w:snapToGrid w:val="0"/>
        <w:rPr>
          <w:rFonts w:ascii="黑体" w:hAnsi="黑体" w:eastAsia="黑体" w:cs="黑体"/>
          <w:sz w:val="24"/>
        </w:rPr>
      </w:pPr>
      <w:r>
        <w:rPr>
          <w:rFonts w:hint="eastAsia" w:ascii="黑体" w:hAnsi="黑体" w:eastAsia="黑体" w:cs="黑体"/>
          <w:sz w:val="24"/>
        </w:rPr>
        <w:t>1. 开展全校专任教师培训工作</w:t>
      </w:r>
    </w:p>
    <w:p>
      <w:pPr>
        <w:spacing w:line="400" w:lineRule="exact"/>
        <w:ind w:firstLine="456" w:firstLineChars="200"/>
        <w:rPr>
          <w:rFonts w:ascii="宋体" w:hAnsi="宋体" w:cs="宋体"/>
          <w:kern w:val="0"/>
          <w:sz w:val="24"/>
        </w:rPr>
      </w:pPr>
      <w:r>
        <w:rPr>
          <w:rFonts w:hint="eastAsia" w:ascii="宋体" w:hAnsi="宋体" w:cs="宋体"/>
          <w:kern w:val="0"/>
          <w:sz w:val="24"/>
        </w:rPr>
        <w:t>教师教学发展中心针对学校不同类型教师设计多样化、专项性的培训方案。以问题为导向，开展各类研修活动。</w:t>
      </w:r>
      <w:r>
        <w:rPr>
          <w:rFonts w:hint="eastAsia" w:ascii="宋体" w:hAnsi="宋体" w:cs="宋体"/>
          <w:bCs/>
          <w:sz w:val="24"/>
        </w:rPr>
        <w:t>围绕2020-2021学年疫情防控带来的新变化、新要求，</w:t>
      </w:r>
      <w:r>
        <w:rPr>
          <w:rFonts w:hint="eastAsia" w:ascii="宋体" w:hAnsi="宋体" w:cs="宋体"/>
          <w:kern w:val="0"/>
          <w:sz w:val="24"/>
        </w:rPr>
        <w:t>助力教师应对疫情大背景下的线上教学，教师教学发展中心组织开展“信息化教学能力提升”在线教学培训，通过问卷调查精准设计一组在线教学培训，尤其是“互联网+教学”能力提升的培训项目，包括教学设计、课程录制、课堂组织管理、学习检测、学业评价等。同时，邀请浙江工业大学、浙江理工大学、山东协和学院等专家来校做专题报告和主持工作坊，切实提高教师教育教学水平。</w:t>
      </w:r>
    </w:p>
    <w:p>
      <w:pPr>
        <w:adjustRightInd w:val="0"/>
        <w:snapToGrid w:val="0"/>
        <w:rPr>
          <w:rFonts w:ascii="黑体" w:hAnsi="黑体" w:eastAsia="黑体" w:cs="黑体"/>
          <w:sz w:val="24"/>
        </w:rPr>
      </w:pPr>
      <w:r>
        <w:rPr>
          <w:rFonts w:hint="eastAsia" w:ascii="黑体" w:hAnsi="黑体" w:eastAsia="黑体" w:cs="黑体"/>
          <w:sz w:val="24"/>
        </w:rPr>
        <w:t>2. 执行青年助讲培养制度</w:t>
      </w:r>
    </w:p>
    <w:p>
      <w:pPr>
        <w:spacing w:line="400" w:lineRule="exact"/>
        <w:ind w:firstLine="456" w:firstLineChars="200"/>
        <w:rPr>
          <w:rFonts w:ascii="宋体" w:hAnsi="宋体" w:cs="宋体"/>
          <w:sz w:val="24"/>
        </w:rPr>
      </w:pPr>
      <w:r>
        <w:rPr>
          <w:rFonts w:hint="eastAsia" w:ascii="宋体" w:hAnsi="宋体" w:cs="宋体"/>
          <w:sz w:val="24"/>
        </w:rPr>
        <w:t>严格执行学校《青年教师助讲培养制度实施办法》，选择教学经验丰富、治学态度严谨的老教师与新入职教师进行结对，开展为期一年的一对一的“师徒培养”。根据新教师发展需求，量身定制为期1年的教学技能培训方案，设置教学基本规范、师德师风、课堂教学方法、翻转课堂、教研教改等主题，通过专题报告、教学沙龙、教学观摩、微格教学、在线学习、公开课等多形式，帮助新教师尽快适应高校教师角色，站稳讲台。</w:t>
      </w:r>
      <w:r>
        <w:rPr>
          <w:rFonts w:hint="eastAsia" w:ascii="宋体" w:hAnsi="宋体" w:cs="宋体"/>
          <w:kern w:val="0"/>
          <w:sz w:val="24"/>
        </w:rPr>
        <w:t>2020-2021学年青年教师助讲培养结对工作共确定培养对象62名，指导教师60名。</w:t>
      </w:r>
    </w:p>
    <w:p>
      <w:pPr>
        <w:adjustRightInd w:val="0"/>
        <w:snapToGrid w:val="0"/>
        <w:rPr>
          <w:rFonts w:ascii="黑体" w:hAnsi="黑体" w:eastAsia="黑体" w:cs="黑体"/>
          <w:sz w:val="24"/>
        </w:rPr>
      </w:pPr>
      <w:r>
        <w:rPr>
          <w:rFonts w:hint="eastAsia" w:ascii="黑体" w:hAnsi="黑体" w:eastAsia="黑体" w:cs="黑体"/>
          <w:sz w:val="24"/>
        </w:rPr>
        <w:t>3. 推进教师赴企事业单位挂职锻炼</w:t>
      </w:r>
    </w:p>
    <w:p>
      <w:pPr>
        <w:spacing w:line="400" w:lineRule="exact"/>
        <w:ind w:firstLine="456" w:firstLineChars="200"/>
        <w:rPr>
          <w:rFonts w:ascii="宋体" w:hAnsi="宋体" w:cs="宋体"/>
          <w:sz w:val="24"/>
        </w:rPr>
      </w:pPr>
      <w:r>
        <w:rPr>
          <w:rFonts w:hint="eastAsia" w:ascii="宋体" w:hAnsi="宋体" w:cs="宋体"/>
          <w:sz w:val="24"/>
        </w:rPr>
        <w:t>大力推进教师赴企事业单位挂职锻炼工作，提升教师专业应用与实践能力，加强“双师双能型”师资队伍建设，2020-2021学年，学校选派教师赴企事业单位挂职27人，其中全职挂职4人。从挂职单位性质看，中小学校17人，企业5人，政府部门1人，其他行业4人，实现了挂职合作的多元化。同时，推进教师服务团队建设，鼓励教师深入企业行业参与工程实践、技术开发，深化“双进双强”活动，培育横向科研项目新的增长点。</w:t>
      </w:r>
    </w:p>
    <w:p>
      <w:pPr>
        <w:rPr>
          <w:rFonts w:ascii="黑体" w:hAnsi="黑体" w:eastAsia="黑体" w:cs="黑体"/>
          <w:sz w:val="28"/>
          <w:szCs w:val="28"/>
        </w:rPr>
      </w:pPr>
      <w:r>
        <w:rPr>
          <w:rFonts w:hint="eastAsia" w:ascii="黑体" w:hAnsi="黑体" w:eastAsia="黑体" w:cs="黑体"/>
          <w:sz w:val="28"/>
          <w:szCs w:val="28"/>
        </w:rPr>
        <w:t>（四）建立健全教学激励机制</w:t>
      </w:r>
    </w:p>
    <w:p>
      <w:pPr>
        <w:spacing w:line="400" w:lineRule="exact"/>
        <w:ind w:firstLine="456" w:firstLineChars="200"/>
        <w:rPr>
          <w:rFonts w:ascii="宋体" w:hAnsi="宋体" w:cs="宋体"/>
          <w:sz w:val="24"/>
        </w:rPr>
      </w:pPr>
      <w:r>
        <w:rPr>
          <w:rFonts w:hint="eastAsia" w:ascii="宋体" w:hAnsi="宋体" w:cs="宋体"/>
          <w:sz w:val="24"/>
        </w:rPr>
        <w:t>落实学校《教学工作奖励办法》，加大教学奖励，引导广大教师积极投身教学改革与教学建设工作。2020-2021学年，奖励教学成果奖19.8万元、奖励教材出版18.5万元、奖励专业建设25.75万。同时，对教学工作奖励办法进行修订，适度提高原文件中各奖项与项目的奖励额度，增加专业认证、专业建设项目、课程建设项目、教材建设项目、教学改革项目、教学类实验室建设项目等项目的奖励额度。</w:t>
      </w:r>
    </w:p>
    <w:p>
      <w:pPr>
        <w:rPr>
          <w:rFonts w:ascii="黑体" w:hAnsi="黑体" w:eastAsia="黑体" w:cs="黑体"/>
          <w:sz w:val="28"/>
          <w:szCs w:val="28"/>
        </w:rPr>
      </w:pPr>
      <w:r>
        <w:rPr>
          <w:rFonts w:hint="eastAsia" w:ascii="黑体" w:hAnsi="黑体" w:eastAsia="黑体" w:cs="黑体"/>
          <w:sz w:val="28"/>
          <w:szCs w:val="28"/>
        </w:rPr>
        <w:t>（五）推进专业认证</w:t>
      </w:r>
    </w:p>
    <w:p>
      <w:pPr>
        <w:spacing w:line="400" w:lineRule="exact"/>
        <w:ind w:firstLine="456" w:firstLineChars="200"/>
        <w:rPr>
          <w:rFonts w:ascii="宋体" w:hAnsi="宋体" w:cs="宋体"/>
          <w:sz w:val="24"/>
        </w:rPr>
      </w:pPr>
      <w:r>
        <w:rPr>
          <w:rFonts w:hint="eastAsia" w:ascii="宋体" w:hAnsi="宋体" w:cs="宋体"/>
          <w:sz w:val="24"/>
        </w:rPr>
        <w:t>医学类专业认证。2019年6月，我校临床医学专业通过教育部临床医学专业认证。根据认证专家组的意见实施整改，2020年8月递交了我校临床医学专业认证进展报告。2020年3月，护理学专业向教育部护理学专业认证工作委员会递交了认证申请，2020年7月顺利通过申请，将于2021年11月接受认证专家组进校现场考查。</w:t>
      </w:r>
    </w:p>
    <w:p>
      <w:pPr>
        <w:spacing w:line="400" w:lineRule="exact"/>
        <w:ind w:firstLine="456" w:firstLineChars="200"/>
        <w:rPr>
          <w:rFonts w:ascii="宋体" w:hAnsi="宋体" w:cs="宋体"/>
          <w:sz w:val="24"/>
        </w:rPr>
      </w:pPr>
      <w:r>
        <w:rPr>
          <w:rFonts w:hint="eastAsia" w:ascii="宋体" w:hAnsi="宋体" w:cs="宋体"/>
          <w:sz w:val="24"/>
        </w:rPr>
        <w:t>师范类专业认证。2019-2020年，我校小学教育、数学与应用数学、学前教育、汉语言文学、思想政治教育、物理学6个师范专业已分批顺利通过教育部师范类专业第二级认证，并根据认证专家所提意见进行整改，继续加强专业建设。2020年12月，学校向浙江省评估院申请化学、体育教育2个师范专业参加教育部2021年师范类专业第二级认证，并做了大量前期准备工作。2021年6月，校领导带队实地督查2个待认证专业的准备工作，对自评报告撰写、支撑材料的准备等提出修改意见。2021年11月，教育部师范类专业第二级认证专家组将进校现场考查。</w:t>
      </w:r>
    </w:p>
    <w:p>
      <w:pPr>
        <w:spacing w:line="400" w:lineRule="exact"/>
        <w:ind w:firstLine="456" w:firstLineChars="200"/>
        <w:rPr>
          <w:rFonts w:ascii="宋体" w:hAnsi="宋体" w:cs="宋体"/>
          <w:sz w:val="24"/>
        </w:rPr>
      </w:pPr>
      <w:r>
        <w:rPr>
          <w:rFonts w:hint="eastAsia" w:ascii="宋体" w:hAnsi="宋体" w:cs="宋体"/>
          <w:sz w:val="24"/>
        </w:rPr>
        <w:t>谋划工程教育类与商科类专业认证。通过实地考察、调研学习、专家来校指导等途径，进一步明确工程教育类和商科类专业认证的基本内涵和基本条件，做好认证的具体规划和基本步骤，力争“十四五”期间，上述两类专业的认证能有所突破。</w:t>
      </w:r>
    </w:p>
    <w:p>
      <w:pPr>
        <w:rPr>
          <w:rFonts w:ascii="黑体" w:hAnsi="黑体" w:eastAsia="黑体" w:cs="黑体"/>
          <w:sz w:val="30"/>
          <w:szCs w:val="30"/>
        </w:rPr>
      </w:pPr>
      <w:r>
        <w:rPr>
          <w:rFonts w:hint="eastAsia" w:ascii="黑体" w:hAnsi="黑体" w:eastAsia="黑体" w:cs="黑体"/>
          <w:sz w:val="30"/>
          <w:szCs w:val="30"/>
        </w:rPr>
        <w:t>六、学生学习效果</w:t>
      </w:r>
    </w:p>
    <w:p>
      <w:pPr>
        <w:rPr>
          <w:rFonts w:ascii="黑体" w:hAnsi="黑体" w:eastAsia="黑体" w:cs="黑体"/>
          <w:sz w:val="28"/>
          <w:szCs w:val="28"/>
        </w:rPr>
      </w:pPr>
      <w:r>
        <w:rPr>
          <w:rFonts w:hint="eastAsia" w:ascii="黑体" w:hAnsi="黑体" w:eastAsia="黑体" w:cs="黑体"/>
          <w:sz w:val="28"/>
          <w:szCs w:val="28"/>
        </w:rPr>
        <w:t>（一）在校生培养情况</w:t>
      </w:r>
    </w:p>
    <w:p>
      <w:pPr>
        <w:adjustRightInd w:val="0"/>
        <w:snapToGrid w:val="0"/>
        <w:rPr>
          <w:rFonts w:ascii="黑体" w:hAnsi="黑体" w:eastAsia="黑体" w:cs="黑体"/>
          <w:sz w:val="24"/>
        </w:rPr>
      </w:pPr>
      <w:r>
        <w:rPr>
          <w:rFonts w:hint="eastAsia" w:ascii="黑体" w:hAnsi="黑体" w:eastAsia="黑体" w:cs="黑体"/>
          <w:sz w:val="24"/>
        </w:rPr>
        <w:t>1. 学生学习满意度</w:t>
      </w:r>
    </w:p>
    <w:p>
      <w:pPr>
        <w:widowControl/>
        <w:spacing w:line="400" w:lineRule="exact"/>
        <w:ind w:firstLine="456" w:firstLineChars="200"/>
        <w:rPr>
          <w:rFonts w:ascii="宋体" w:hAnsi="宋体" w:cs="宋体"/>
          <w:sz w:val="24"/>
        </w:rPr>
      </w:pPr>
      <w:r>
        <w:rPr>
          <w:rFonts w:hint="eastAsia" w:ascii="宋体" w:hAnsi="宋体" w:cs="宋体"/>
          <w:sz w:val="24"/>
        </w:rPr>
        <w:t>全校学生按课程、班次对所有任课教师进行评价，两学期学生对教师课堂教学评价的优良率均达到95%以上。</w:t>
      </w:r>
    </w:p>
    <w:p>
      <w:pPr>
        <w:adjustRightInd w:val="0"/>
        <w:snapToGrid w:val="0"/>
        <w:rPr>
          <w:rFonts w:ascii="黑体" w:hAnsi="黑体" w:eastAsia="黑体" w:cs="黑体"/>
          <w:sz w:val="24"/>
        </w:rPr>
      </w:pPr>
    </w:p>
    <w:p>
      <w:pPr>
        <w:adjustRightInd w:val="0"/>
        <w:snapToGrid w:val="0"/>
        <w:rPr>
          <w:rFonts w:ascii="黑体" w:hAnsi="黑体" w:eastAsia="黑体" w:cs="黑体"/>
          <w:sz w:val="24"/>
        </w:rPr>
      </w:pPr>
      <w:r>
        <w:rPr>
          <w:rFonts w:hint="eastAsia" w:ascii="黑体" w:hAnsi="黑体" w:eastAsia="黑体" w:cs="黑体"/>
          <w:sz w:val="24"/>
        </w:rPr>
        <w:t>2. 学生体质测试情况</w:t>
      </w:r>
    </w:p>
    <w:p>
      <w:pPr>
        <w:widowControl/>
        <w:spacing w:line="400" w:lineRule="exact"/>
        <w:ind w:firstLine="456" w:firstLineChars="200"/>
        <w:rPr>
          <w:rFonts w:ascii="宋体" w:hAnsi="宋体" w:cs="宋体"/>
          <w:sz w:val="24"/>
        </w:rPr>
      </w:pPr>
      <w:r>
        <w:rPr>
          <w:rFonts w:hint="eastAsia" w:ascii="宋体" w:hAnsi="宋体" w:cs="宋体"/>
          <w:sz w:val="24"/>
        </w:rPr>
        <w:t>2020-2021学年参与体质测试人数9388人，测试合格人数8756人，学生体质测试合格</w:t>
      </w:r>
    </w:p>
    <w:p>
      <w:pPr>
        <w:widowControl/>
        <w:spacing w:line="400" w:lineRule="exact"/>
        <w:rPr>
          <w:rFonts w:ascii="宋体" w:hAnsi="宋体" w:cs="宋体"/>
          <w:sz w:val="24"/>
        </w:rPr>
      </w:pPr>
      <w:r>
        <w:rPr>
          <w:rFonts w:hint="eastAsia" w:ascii="宋体" w:hAnsi="宋体" w:cs="宋体"/>
          <w:sz w:val="24"/>
        </w:rPr>
        <w:t>率为93.27%。其中，近一届毕业生参与体质测试人数1920人、测试合格人数1659人，合格率86.41%。</w:t>
      </w:r>
    </w:p>
    <w:p>
      <w:pPr>
        <w:adjustRightInd w:val="0"/>
        <w:snapToGrid w:val="0"/>
        <w:rPr>
          <w:rFonts w:ascii="黑体" w:hAnsi="黑体" w:eastAsia="黑体" w:cs="黑体"/>
          <w:sz w:val="24"/>
        </w:rPr>
      </w:pPr>
      <w:r>
        <w:rPr>
          <w:rFonts w:hint="eastAsia" w:ascii="黑体" w:hAnsi="黑体" w:eastAsia="黑体" w:cs="黑体"/>
          <w:sz w:val="24"/>
        </w:rPr>
        <w:t>3. 学生科研竞赛</w:t>
      </w:r>
    </w:p>
    <w:p>
      <w:pPr>
        <w:spacing w:line="400" w:lineRule="exact"/>
        <w:ind w:firstLine="456" w:firstLineChars="200"/>
        <w:rPr>
          <w:rFonts w:ascii="宋体" w:hAnsi="宋体" w:cs="宋体"/>
          <w:sz w:val="24"/>
        </w:rPr>
      </w:pPr>
      <w:r>
        <w:rPr>
          <w:rFonts w:hint="eastAsia" w:ascii="宋体" w:hAnsi="宋体" w:cs="宋体"/>
          <w:sz w:val="24"/>
        </w:rPr>
        <w:t>2020-2021学年，学生公开发表论文162篇，学生专利101项，参与面逐年扩大。同时，加强学科竞赛基地管理，加大学科竞赛支持力度，先后投入150多万保障学科竞赛的正常运行。2020-2021学年，学校共组织举办和参加各类大学生学科竞赛200多项，其中由省教育厅大学生科技竞赛委员会及教育部等主办的A类竞赛66项，行业协会主办的B类竞赛30项，校级竞赛100余项。共获奖500余项，其中国家级一等奖7项、二等奖20项、三等奖22项，省部级特等奖3项、一等奖74项、二等奖139项、三等奖178项。</w:t>
      </w:r>
    </w:p>
    <w:p>
      <w:pPr>
        <w:rPr>
          <w:rFonts w:ascii="黑体" w:hAnsi="黑体" w:eastAsia="黑体" w:cs="黑体"/>
          <w:sz w:val="28"/>
          <w:szCs w:val="28"/>
        </w:rPr>
      </w:pPr>
      <w:r>
        <w:rPr>
          <w:rFonts w:hint="eastAsia" w:ascii="黑体" w:hAnsi="黑体" w:eastAsia="黑体" w:cs="黑体"/>
          <w:sz w:val="28"/>
          <w:szCs w:val="28"/>
        </w:rPr>
        <w:t>（二）毕业生基本情况</w:t>
      </w:r>
    </w:p>
    <w:p>
      <w:pPr>
        <w:adjustRightInd w:val="0"/>
        <w:snapToGrid w:val="0"/>
        <w:rPr>
          <w:rFonts w:ascii="黑体" w:hAnsi="黑体" w:eastAsia="黑体" w:cs="黑体"/>
          <w:sz w:val="24"/>
        </w:rPr>
      </w:pPr>
      <w:r>
        <w:rPr>
          <w:rFonts w:hint="eastAsia" w:ascii="黑体" w:hAnsi="黑体" w:eastAsia="黑体" w:cs="黑体"/>
          <w:sz w:val="24"/>
        </w:rPr>
        <w:t>1. 毕业生毕业及学位授予情况</w:t>
      </w:r>
    </w:p>
    <w:p>
      <w:pPr>
        <w:spacing w:line="400" w:lineRule="exact"/>
        <w:ind w:firstLine="456" w:firstLineChars="200"/>
        <w:rPr>
          <w:rFonts w:ascii="宋体" w:hAnsi="宋体" w:cs="宋体"/>
          <w:sz w:val="24"/>
        </w:rPr>
      </w:pPr>
      <w:r>
        <w:rPr>
          <w:rFonts w:hint="eastAsia" w:ascii="宋体" w:hAnsi="宋体" w:cs="宋体"/>
          <w:sz w:val="24"/>
        </w:rPr>
        <w:t>2021届本科生共2447人，其中2311人顺利毕业，毕业率94.44%；2282人获学士学位，学位授予率93.26%。</w:t>
      </w:r>
    </w:p>
    <w:p>
      <w:pPr>
        <w:adjustRightInd w:val="0"/>
        <w:snapToGrid w:val="0"/>
        <w:spacing w:line="400" w:lineRule="exact"/>
        <w:jc w:val="center"/>
        <w:rPr>
          <w:rFonts w:ascii="宋体" w:hAnsi="宋体" w:cs="宋体"/>
          <w:b/>
          <w:kern w:val="0"/>
          <w:szCs w:val="21"/>
        </w:rPr>
      </w:pPr>
      <w:r>
        <w:rPr>
          <w:rFonts w:hint="eastAsia" w:ascii="宋体" w:hAnsi="宋体" w:cs="宋体"/>
          <w:b/>
          <w:kern w:val="0"/>
          <w:szCs w:val="21"/>
        </w:rPr>
        <w:t>表5  应届本科生毕业及学位授予情况</w:t>
      </w:r>
    </w:p>
    <w:tbl>
      <w:tblPr>
        <w:tblStyle w:val="9"/>
        <w:tblW w:w="9241" w:type="dxa"/>
        <w:tblInd w:w="0" w:type="dxa"/>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tblLayout w:type="fixed"/>
        <w:tblCellMar>
          <w:top w:w="0" w:type="dxa"/>
          <w:left w:w="0" w:type="dxa"/>
          <w:bottom w:w="0" w:type="dxa"/>
          <w:right w:w="0" w:type="dxa"/>
        </w:tblCellMar>
      </w:tblPr>
      <w:tblGrid>
        <w:gridCol w:w="813"/>
        <w:gridCol w:w="1685"/>
        <w:gridCol w:w="1685"/>
        <w:gridCol w:w="1685"/>
        <w:gridCol w:w="1685"/>
        <w:gridCol w:w="1688"/>
      </w:tblGrid>
      <w:tr>
        <w:tblPrEx>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tblCellMar>
            <w:top w:w="0" w:type="dxa"/>
            <w:left w:w="0" w:type="dxa"/>
            <w:bottom w:w="0" w:type="dxa"/>
            <w:right w:w="0" w:type="dxa"/>
          </w:tblCellMar>
        </w:tblPrEx>
        <w:trPr>
          <w:trHeight w:val="544" w:hRule="atLeast"/>
        </w:trPr>
        <w:tc>
          <w:tcPr>
            <w:tcW w:w="813" w:type="dxa"/>
            <w:tcBorders>
              <w:top w:val="single" w:color="auto" w:sz="12" w:space="0"/>
              <w:left w:val="single" w:color="auto" w:sz="12" w:space="0"/>
              <w:bottom w:val="single" w:color="000000" w:sz="8" w:space="0"/>
              <w:right w:val="single" w:color="000000" w:sz="8" w:space="0"/>
            </w:tcBorders>
            <w:vAlign w:val="center"/>
          </w:tcPr>
          <w:p>
            <w:pPr>
              <w:adjustRightInd w:val="0"/>
              <w:snapToGrid w:val="0"/>
              <w:spacing w:line="0" w:lineRule="atLeast"/>
              <w:jc w:val="center"/>
              <w:rPr>
                <w:rFonts w:ascii="黑体" w:hAnsi="黑体" w:eastAsia="黑体" w:cs="黑体"/>
                <w:szCs w:val="21"/>
              </w:rPr>
            </w:pPr>
            <w:r>
              <w:rPr>
                <w:rFonts w:hint="eastAsia" w:ascii="黑体" w:hAnsi="黑体" w:eastAsia="黑体" w:cs="黑体"/>
                <w:szCs w:val="21"/>
              </w:rPr>
              <w:t>毕业</w:t>
            </w:r>
          </w:p>
          <w:p>
            <w:pPr>
              <w:adjustRightInd w:val="0"/>
              <w:snapToGrid w:val="0"/>
              <w:spacing w:line="0" w:lineRule="atLeast"/>
              <w:jc w:val="center"/>
              <w:rPr>
                <w:rFonts w:ascii="黑体" w:hAnsi="黑体" w:eastAsia="黑体" w:cs="黑体"/>
                <w:szCs w:val="21"/>
              </w:rPr>
            </w:pPr>
            <w:r>
              <w:rPr>
                <w:rFonts w:hint="eastAsia" w:ascii="黑体" w:hAnsi="黑体" w:eastAsia="黑体" w:cs="黑体"/>
                <w:szCs w:val="21"/>
              </w:rPr>
              <w:t>年份</w:t>
            </w:r>
          </w:p>
        </w:tc>
        <w:tc>
          <w:tcPr>
            <w:tcW w:w="1685" w:type="dxa"/>
            <w:tcBorders>
              <w:top w:val="single" w:color="auto" w:sz="12" w:space="0"/>
              <w:left w:val="single" w:color="000000" w:sz="8" w:space="0"/>
              <w:bottom w:val="single" w:color="000000" w:sz="8" w:space="0"/>
              <w:right w:val="single" w:color="000000" w:sz="8" w:space="0"/>
            </w:tcBorders>
            <w:vAlign w:val="center"/>
          </w:tcPr>
          <w:p>
            <w:pPr>
              <w:adjustRightInd w:val="0"/>
              <w:snapToGrid w:val="0"/>
              <w:spacing w:line="0" w:lineRule="atLeast"/>
              <w:jc w:val="center"/>
              <w:rPr>
                <w:rFonts w:ascii="黑体" w:hAnsi="黑体" w:eastAsia="黑体" w:cs="黑体"/>
                <w:szCs w:val="21"/>
              </w:rPr>
            </w:pPr>
            <w:r>
              <w:rPr>
                <w:rFonts w:hint="eastAsia" w:ascii="黑体" w:hAnsi="黑体" w:eastAsia="黑体" w:cs="黑体"/>
                <w:szCs w:val="21"/>
              </w:rPr>
              <w:t>应届本科生</w:t>
            </w:r>
          </w:p>
          <w:p>
            <w:pPr>
              <w:adjustRightInd w:val="0"/>
              <w:snapToGrid w:val="0"/>
              <w:spacing w:line="0" w:lineRule="atLeast"/>
              <w:jc w:val="center"/>
              <w:rPr>
                <w:rFonts w:ascii="黑体" w:hAnsi="黑体" w:eastAsia="黑体" w:cs="黑体"/>
                <w:szCs w:val="21"/>
              </w:rPr>
            </w:pPr>
            <w:r>
              <w:rPr>
                <w:rFonts w:hint="eastAsia" w:ascii="黑体" w:hAnsi="黑体" w:eastAsia="黑体" w:cs="黑体"/>
                <w:szCs w:val="21"/>
              </w:rPr>
              <w:t>总人数</w:t>
            </w:r>
          </w:p>
        </w:tc>
        <w:tc>
          <w:tcPr>
            <w:tcW w:w="1685" w:type="dxa"/>
            <w:tcBorders>
              <w:top w:val="single" w:color="auto" w:sz="12" w:space="0"/>
              <w:left w:val="single" w:color="000000" w:sz="8" w:space="0"/>
              <w:bottom w:val="single" w:color="000000" w:sz="8" w:space="0"/>
              <w:right w:val="single" w:color="000000" w:sz="8" w:space="0"/>
            </w:tcBorders>
            <w:vAlign w:val="center"/>
          </w:tcPr>
          <w:p>
            <w:pPr>
              <w:adjustRightInd w:val="0"/>
              <w:snapToGrid w:val="0"/>
              <w:spacing w:line="0" w:lineRule="atLeast"/>
              <w:jc w:val="center"/>
              <w:rPr>
                <w:rFonts w:ascii="黑体" w:hAnsi="黑体" w:eastAsia="黑体" w:cs="黑体"/>
                <w:szCs w:val="21"/>
              </w:rPr>
            </w:pPr>
            <w:r>
              <w:rPr>
                <w:rFonts w:hint="eastAsia" w:ascii="黑体" w:hAnsi="黑体" w:eastAsia="黑体" w:cs="黑体"/>
                <w:szCs w:val="21"/>
              </w:rPr>
              <w:t>应届本科生</w:t>
            </w:r>
          </w:p>
          <w:p>
            <w:pPr>
              <w:adjustRightInd w:val="0"/>
              <w:snapToGrid w:val="0"/>
              <w:spacing w:line="0" w:lineRule="atLeast"/>
              <w:jc w:val="center"/>
              <w:rPr>
                <w:rFonts w:ascii="黑体" w:hAnsi="黑体" w:eastAsia="黑体" w:cs="黑体"/>
                <w:szCs w:val="21"/>
              </w:rPr>
            </w:pPr>
            <w:r>
              <w:rPr>
                <w:rFonts w:hint="eastAsia" w:ascii="黑体" w:hAnsi="黑体" w:eastAsia="黑体" w:cs="黑体"/>
                <w:szCs w:val="21"/>
              </w:rPr>
              <w:t>实际毕业人数</w:t>
            </w:r>
          </w:p>
        </w:tc>
        <w:tc>
          <w:tcPr>
            <w:tcW w:w="1685" w:type="dxa"/>
            <w:tcBorders>
              <w:top w:val="single" w:color="auto" w:sz="12" w:space="0"/>
              <w:left w:val="single" w:color="000000" w:sz="8" w:space="0"/>
              <w:bottom w:val="single" w:color="000000" w:sz="8" w:space="0"/>
              <w:right w:val="single" w:color="000000" w:sz="8" w:space="0"/>
            </w:tcBorders>
            <w:vAlign w:val="center"/>
          </w:tcPr>
          <w:p>
            <w:pPr>
              <w:adjustRightInd w:val="0"/>
              <w:snapToGrid w:val="0"/>
              <w:spacing w:line="0" w:lineRule="atLeast"/>
              <w:jc w:val="center"/>
              <w:rPr>
                <w:rFonts w:ascii="黑体" w:hAnsi="黑体" w:eastAsia="黑体" w:cs="黑体"/>
                <w:szCs w:val="21"/>
              </w:rPr>
            </w:pPr>
            <w:r>
              <w:rPr>
                <w:rFonts w:hint="eastAsia" w:ascii="黑体" w:hAnsi="黑体" w:eastAsia="黑体" w:cs="黑体"/>
                <w:szCs w:val="21"/>
              </w:rPr>
              <w:t>应届本科生</w:t>
            </w:r>
          </w:p>
          <w:p>
            <w:pPr>
              <w:adjustRightInd w:val="0"/>
              <w:snapToGrid w:val="0"/>
              <w:spacing w:line="0" w:lineRule="atLeast"/>
              <w:jc w:val="center"/>
              <w:rPr>
                <w:rFonts w:ascii="黑体" w:hAnsi="黑体" w:eastAsia="黑体" w:cs="黑体"/>
                <w:szCs w:val="21"/>
              </w:rPr>
            </w:pPr>
            <w:r>
              <w:rPr>
                <w:rFonts w:hint="eastAsia" w:ascii="黑体" w:hAnsi="黑体" w:eastAsia="黑体" w:cs="黑体"/>
                <w:szCs w:val="21"/>
              </w:rPr>
              <w:t>毕业率</w:t>
            </w:r>
          </w:p>
        </w:tc>
        <w:tc>
          <w:tcPr>
            <w:tcW w:w="1685" w:type="dxa"/>
            <w:tcBorders>
              <w:top w:val="single" w:color="auto" w:sz="12" w:space="0"/>
              <w:left w:val="single" w:color="000000" w:sz="8" w:space="0"/>
              <w:bottom w:val="single" w:color="000000" w:sz="8" w:space="0"/>
              <w:right w:val="single" w:color="000000" w:sz="8" w:space="0"/>
            </w:tcBorders>
            <w:vAlign w:val="center"/>
          </w:tcPr>
          <w:p>
            <w:pPr>
              <w:adjustRightInd w:val="0"/>
              <w:snapToGrid w:val="0"/>
              <w:spacing w:line="0" w:lineRule="atLeast"/>
              <w:jc w:val="center"/>
              <w:rPr>
                <w:rFonts w:ascii="黑体" w:hAnsi="黑体" w:eastAsia="黑体" w:cs="黑体"/>
                <w:szCs w:val="21"/>
              </w:rPr>
            </w:pPr>
            <w:r>
              <w:rPr>
                <w:rFonts w:hint="eastAsia" w:ascii="黑体" w:hAnsi="黑体" w:eastAsia="黑体" w:cs="黑体"/>
                <w:szCs w:val="21"/>
              </w:rPr>
              <w:t>应届本科生</w:t>
            </w:r>
          </w:p>
          <w:p>
            <w:pPr>
              <w:adjustRightInd w:val="0"/>
              <w:snapToGrid w:val="0"/>
              <w:spacing w:line="0" w:lineRule="atLeast"/>
              <w:jc w:val="center"/>
              <w:rPr>
                <w:rFonts w:ascii="黑体" w:hAnsi="黑体" w:eastAsia="黑体" w:cs="黑体"/>
                <w:szCs w:val="21"/>
              </w:rPr>
            </w:pPr>
            <w:r>
              <w:rPr>
                <w:rFonts w:hint="eastAsia" w:ascii="黑体" w:hAnsi="黑体" w:eastAsia="黑体" w:cs="黑体"/>
                <w:szCs w:val="21"/>
              </w:rPr>
              <w:t>学位授予人数</w:t>
            </w:r>
          </w:p>
        </w:tc>
        <w:tc>
          <w:tcPr>
            <w:tcW w:w="1688" w:type="dxa"/>
            <w:tcBorders>
              <w:top w:val="single" w:color="auto" w:sz="12" w:space="0"/>
              <w:left w:val="single" w:color="000000" w:sz="8" w:space="0"/>
              <w:bottom w:val="single" w:color="000000" w:sz="8" w:space="0"/>
              <w:right w:val="single" w:color="auto" w:sz="12" w:space="0"/>
            </w:tcBorders>
            <w:vAlign w:val="center"/>
          </w:tcPr>
          <w:p>
            <w:pPr>
              <w:adjustRightInd w:val="0"/>
              <w:snapToGrid w:val="0"/>
              <w:spacing w:line="0" w:lineRule="atLeast"/>
              <w:jc w:val="center"/>
              <w:rPr>
                <w:rFonts w:ascii="黑体" w:hAnsi="黑体" w:eastAsia="黑体" w:cs="黑体"/>
                <w:szCs w:val="21"/>
              </w:rPr>
            </w:pPr>
            <w:r>
              <w:rPr>
                <w:rFonts w:hint="eastAsia" w:ascii="黑体" w:hAnsi="黑体" w:eastAsia="黑体" w:cs="黑体"/>
                <w:szCs w:val="21"/>
              </w:rPr>
              <w:t>应届本科生</w:t>
            </w:r>
          </w:p>
          <w:p>
            <w:pPr>
              <w:adjustRightInd w:val="0"/>
              <w:snapToGrid w:val="0"/>
              <w:spacing w:line="0" w:lineRule="atLeast"/>
              <w:jc w:val="center"/>
              <w:rPr>
                <w:rFonts w:ascii="黑体" w:hAnsi="黑体" w:eastAsia="黑体" w:cs="黑体"/>
                <w:szCs w:val="21"/>
              </w:rPr>
            </w:pPr>
            <w:r>
              <w:rPr>
                <w:rFonts w:hint="eastAsia" w:ascii="黑体" w:hAnsi="黑体" w:eastAsia="黑体" w:cs="黑体"/>
                <w:szCs w:val="21"/>
              </w:rPr>
              <w:t>学位授予率</w:t>
            </w:r>
          </w:p>
        </w:tc>
      </w:tr>
      <w:tr>
        <w:tblPrEx>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tblCellMar>
            <w:top w:w="0" w:type="dxa"/>
            <w:left w:w="0" w:type="dxa"/>
            <w:bottom w:w="0" w:type="dxa"/>
            <w:right w:w="0" w:type="dxa"/>
          </w:tblCellMar>
        </w:tblPrEx>
        <w:trPr>
          <w:trHeight w:val="544" w:hRule="atLeast"/>
        </w:trPr>
        <w:tc>
          <w:tcPr>
            <w:tcW w:w="813" w:type="dxa"/>
            <w:tcBorders>
              <w:top w:val="single" w:color="000000" w:sz="8" w:space="0"/>
              <w:left w:val="single" w:color="auto" w:sz="12" w:space="0"/>
              <w:bottom w:val="single" w:color="auto" w:sz="12" w:space="0"/>
              <w:right w:val="single" w:color="000000" w:sz="8" w:space="0"/>
            </w:tcBorders>
            <w:vAlign w:val="center"/>
          </w:tcPr>
          <w:p>
            <w:pPr>
              <w:adjustRightInd w:val="0"/>
              <w:snapToGrid w:val="0"/>
              <w:spacing w:line="0" w:lineRule="atLeast"/>
              <w:jc w:val="center"/>
              <w:rPr>
                <w:rFonts w:ascii="宋体" w:hAnsi="宋体" w:cs="宋体"/>
                <w:szCs w:val="21"/>
              </w:rPr>
            </w:pPr>
            <w:r>
              <w:rPr>
                <w:rFonts w:hint="eastAsia" w:ascii="宋体" w:hAnsi="宋体" w:cs="宋体"/>
                <w:szCs w:val="21"/>
              </w:rPr>
              <w:t>2021</w:t>
            </w:r>
          </w:p>
        </w:tc>
        <w:tc>
          <w:tcPr>
            <w:tcW w:w="1685" w:type="dxa"/>
            <w:tcBorders>
              <w:top w:val="single" w:color="000000" w:sz="8" w:space="0"/>
              <w:left w:val="single" w:color="000000" w:sz="8" w:space="0"/>
              <w:bottom w:val="single" w:color="auto" w:sz="12" w:space="0"/>
              <w:right w:val="single" w:color="000000" w:sz="8" w:space="0"/>
            </w:tcBorders>
            <w:vAlign w:val="center"/>
          </w:tcPr>
          <w:p>
            <w:pPr>
              <w:adjustRightInd w:val="0"/>
              <w:snapToGrid w:val="0"/>
              <w:spacing w:line="0" w:lineRule="atLeast"/>
              <w:jc w:val="center"/>
              <w:rPr>
                <w:rFonts w:ascii="宋体" w:hAnsi="宋体" w:cs="宋体"/>
                <w:szCs w:val="21"/>
              </w:rPr>
            </w:pPr>
            <w:r>
              <w:rPr>
                <w:rFonts w:hint="eastAsia" w:ascii="宋体" w:hAnsi="宋体" w:cs="宋体"/>
                <w:szCs w:val="21"/>
              </w:rPr>
              <w:t>2447</w:t>
            </w:r>
          </w:p>
        </w:tc>
        <w:tc>
          <w:tcPr>
            <w:tcW w:w="1685" w:type="dxa"/>
            <w:tcBorders>
              <w:top w:val="single" w:color="000000" w:sz="8" w:space="0"/>
              <w:left w:val="single" w:color="000000" w:sz="8" w:space="0"/>
              <w:bottom w:val="single" w:color="auto" w:sz="12" w:space="0"/>
              <w:right w:val="single" w:color="000000" w:sz="8" w:space="0"/>
            </w:tcBorders>
            <w:vAlign w:val="center"/>
          </w:tcPr>
          <w:p>
            <w:pPr>
              <w:adjustRightInd w:val="0"/>
              <w:snapToGrid w:val="0"/>
              <w:spacing w:line="0" w:lineRule="atLeast"/>
              <w:jc w:val="center"/>
              <w:rPr>
                <w:rFonts w:ascii="宋体" w:hAnsi="宋体" w:cs="宋体"/>
                <w:szCs w:val="21"/>
              </w:rPr>
            </w:pPr>
            <w:r>
              <w:rPr>
                <w:rFonts w:hint="eastAsia" w:ascii="宋体" w:hAnsi="宋体" w:cs="宋体"/>
                <w:szCs w:val="21"/>
              </w:rPr>
              <w:t>2311</w:t>
            </w:r>
          </w:p>
        </w:tc>
        <w:tc>
          <w:tcPr>
            <w:tcW w:w="1685" w:type="dxa"/>
            <w:tcBorders>
              <w:top w:val="single" w:color="000000" w:sz="8" w:space="0"/>
              <w:left w:val="single" w:color="000000" w:sz="8" w:space="0"/>
              <w:bottom w:val="single" w:color="auto" w:sz="12" w:space="0"/>
              <w:right w:val="single" w:color="000000" w:sz="8" w:space="0"/>
            </w:tcBorders>
            <w:vAlign w:val="center"/>
          </w:tcPr>
          <w:p>
            <w:pPr>
              <w:adjustRightInd w:val="0"/>
              <w:snapToGrid w:val="0"/>
              <w:spacing w:line="0" w:lineRule="atLeast"/>
              <w:jc w:val="center"/>
              <w:rPr>
                <w:rFonts w:ascii="宋体" w:hAnsi="宋体" w:cs="宋体"/>
                <w:szCs w:val="21"/>
              </w:rPr>
            </w:pPr>
            <w:r>
              <w:rPr>
                <w:rFonts w:hint="eastAsia" w:ascii="宋体" w:hAnsi="宋体" w:cs="宋体"/>
                <w:szCs w:val="21"/>
              </w:rPr>
              <w:t>94.44%</w:t>
            </w:r>
          </w:p>
        </w:tc>
        <w:tc>
          <w:tcPr>
            <w:tcW w:w="1685" w:type="dxa"/>
            <w:tcBorders>
              <w:top w:val="single" w:color="000000" w:sz="8" w:space="0"/>
              <w:left w:val="single" w:color="000000" w:sz="8" w:space="0"/>
              <w:bottom w:val="single" w:color="auto" w:sz="12" w:space="0"/>
              <w:right w:val="single" w:color="000000" w:sz="8" w:space="0"/>
            </w:tcBorders>
            <w:vAlign w:val="center"/>
          </w:tcPr>
          <w:p>
            <w:pPr>
              <w:adjustRightInd w:val="0"/>
              <w:snapToGrid w:val="0"/>
              <w:spacing w:line="0" w:lineRule="atLeast"/>
              <w:jc w:val="center"/>
              <w:rPr>
                <w:rFonts w:ascii="宋体" w:hAnsi="宋体" w:cs="宋体"/>
                <w:szCs w:val="21"/>
              </w:rPr>
            </w:pPr>
            <w:r>
              <w:rPr>
                <w:rFonts w:hint="eastAsia" w:ascii="宋体" w:hAnsi="宋体" w:cs="宋体"/>
                <w:szCs w:val="21"/>
              </w:rPr>
              <w:t>2282</w:t>
            </w:r>
          </w:p>
        </w:tc>
        <w:tc>
          <w:tcPr>
            <w:tcW w:w="1688" w:type="dxa"/>
            <w:tcBorders>
              <w:top w:val="single" w:color="000000" w:sz="8" w:space="0"/>
              <w:left w:val="single" w:color="000000" w:sz="8" w:space="0"/>
              <w:bottom w:val="single" w:color="auto" w:sz="12" w:space="0"/>
              <w:right w:val="single" w:color="auto" w:sz="12" w:space="0"/>
            </w:tcBorders>
            <w:vAlign w:val="center"/>
          </w:tcPr>
          <w:p>
            <w:pPr>
              <w:adjustRightInd w:val="0"/>
              <w:snapToGrid w:val="0"/>
              <w:spacing w:line="0" w:lineRule="atLeast"/>
              <w:jc w:val="center"/>
              <w:rPr>
                <w:rFonts w:ascii="宋体" w:hAnsi="宋体" w:cs="宋体"/>
                <w:szCs w:val="21"/>
              </w:rPr>
            </w:pPr>
            <w:r>
              <w:rPr>
                <w:rFonts w:hint="eastAsia" w:ascii="宋体" w:hAnsi="宋体" w:cs="宋体"/>
                <w:szCs w:val="21"/>
              </w:rPr>
              <w:t>93.26%</w:t>
            </w:r>
          </w:p>
        </w:tc>
      </w:tr>
    </w:tbl>
    <w:p>
      <w:pPr>
        <w:adjustRightInd w:val="0"/>
        <w:snapToGrid w:val="0"/>
        <w:rPr>
          <w:rFonts w:ascii="黑体" w:hAnsi="黑体" w:eastAsia="黑体" w:cs="黑体"/>
          <w:sz w:val="24"/>
        </w:rPr>
      </w:pPr>
    </w:p>
    <w:p>
      <w:pPr>
        <w:adjustRightInd w:val="0"/>
        <w:snapToGrid w:val="0"/>
        <w:rPr>
          <w:rFonts w:ascii="黑体" w:hAnsi="黑体" w:eastAsia="黑体" w:cs="黑体"/>
          <w:sz w:val="24"/>
        </w:rPr>
      </w:pPr>
      <w:r>
        <w:rPr>
          <w:rFonts w:hint="eastAsia" w:ascii="黑体" w:hAnsi="黑体" w:eastAsia="黑体" w:cs="黑体"/>
          <w:sz w:val="24"/>
        </w:rPr>
        <w:t>2. 毕业生攻读研究生情况</w:t>
      </w:r>
    </w:p>
    <w:p>
      <w:pPr>
        <w:spacing w:line="400" w:lineRule="exact"/>
        <w:ind w:firstLine="456" w:firstLineChars="200"/>
        <w:rPr>
          <w:rFonts w:ascii="宋体" w:hAnsi="宋体" w:cs="宋体"/>
          <w:sz w:val="24"/>
        </w:rPr>
      </w:pPr>
      <w:r>
        <w:rPr>
          <w:rFonts w:hint="eastAsia" w:ascii="宋体" w:hAnsi="宋体" w:cs="宋体"/>
          <w:sz w:val="24"/>
        </w:rPr>
        <w:t>截至2021年8月底，学校2021届本科毕业生攻读硕士研究生343人，录取率达15.12%。被双一流高校及双一流学科高校录取人数分别为23人和87人，双一流占比32.07%。考取研究生的质量和层次呈逐年递增态势。</w:t>
      </w:r>
    </w:p>
    <w:p>
      <w:pPr>
        <w:adjustRightInd w:val="0"/>
        <w:snapToGrid w:val="0"/>
        <w:rPr>
          <w:rFonts w:ascii="黑体" w:hAnsi="黑体" w:eastAsia="黑体" w:cs="黑体"/>
          <w:sz w:val="24"/>
        </w:rPr>
      </w:pPr>
      <w:r>
        <w:rPr>
          <w:rFonts w:hint="eastAsia" w:ascii="黑体" w:hAnsi="黑体" w:eastAsia="黑体" w:cs="黑体"/>
          <w:sz w:val="24"/>
        </w:rPr>
        <w:t>3. 学生转专业情况</w:t>
      </w:r>
    </w:p>
    <w:p>
      <w:pPr>
        <w:spacing w:line="400" w:lineRule="exact"/>
        <w:ind w:firstLine="456" w:firstLineChars="200"/>
        <w:rPr>
          <w:rFonts w:ascii="宋体" w:hAnsi="宋体" w:cs="宋体"/>
          <w:b/>
          <w:bCs/>
          <w:sz w:val="24"/>
        </w:rPr>
      </w:pPr>
      <w:r>
        <w:rPr>
          <w:rFonts w:hint="eastAsia" w:ascii="宋体" w:hAnsi="宋体" w:cs="宋体"/>
          <w:sz w:val="24"/>
        </w:rPr>
        <w:t>学校贯彻落实《浙江省普通高校学生转专业的指导意见》，出台《湖州师范学院本科生转专业实施办法（试行）》，加大转专业力度。2021年有288名学生申请转专业，194人转专业成功，其中转出人数最多的专业为新闻学和制药工程，转入人数最多的专业是汉语言文学。</w:t>
      </w:r>
    </w:p>
    <w:p>
      <w:pPr>
        <w:adjustRightInd w:val="0"/>
        <w:snapToGrid w:val="0"/>
        <w:rPr>
          <w:rFonts w:ascii="黑体" w:hAnsi="黑体" w:eastAsia="黑体" w:cs="黑体"/>
          <w:sz w:val="24"/>
        </w:rPr>
      </w:pPr>
      <w:r>
        <w:rPr>
          <w:rFonts w:hint="eastAsia" w:ascii="黑体" w:hAnsi="黑体" w:eastAsia="黑体" w:cs="黑体"/>
          <w:sz w:val="24"/>
        </w:rPr>
        <w:t>4. 毕业生就业情况</w:t>
      </w:r>
    </w:p>
    <w:p>
      <w:pPr>
        <w:spacing w:line="400" w:lineRule="exact"/>
        <w:ind w:firstLine="456" w:firstLineChars="200"/>
        <w:rPr>
          <w:rFonts w:ascii="宋体" w:hAnsi="宋体" w:cs="宋体"/>
          <w:sz w:val="24"/>
        </w:rPr>
      </w:pPr>
      <w:r>
        <w:rPr>
          <w:rFonts w:hint="eastAsia" w:ascii="宋体" w:hAnsi="宋体" w:cs="宋体"/>
          <w:sz w:val="24"/>
        </w:rPr>
        <w:t>学校高度重视毕业生就业工作，2021年面对国内外经济增长减缓和新冠疫情对就业工作的多重叠加影响，在做好疫情防控的同时，迅速布局谋划，探索就业工作的新模式、新举措，打出推进就业组合拳，精准助力2021届毕业生尽快尽好就业。截至2021年8月底，我校2021届应届本科毕业生就业率为 95.92%，毕业生就业情况总体良好。从2021届本科毕业生就业去向看，进入教育单位、医疗卫生单位、其他事业单位以及考取公务员的占33.13%，国有企业、三资企业及其他企业占39.25%，出国及读研占15.12%。</w:t>
      </w:r>
    </w:p>
    <w:p>
      <w:pPr>
        <w:adjustRightInd w:val="0"/>
        <w:snapToGrid w:val="0"/>
        <w:spacing w:line="400" w:lineRule="exact"/>
        <w:jc w:val="center"/>
        <w:rPr>
          <w:rFonts w:ascii="宋体" w:hAnsi="宋体" w:cs="宋体"/>
          <w:b/>
          <w:color w:val="000000"/>
          <w:szCs w:val="21"/>
        </w:rPr>
      </w:pPr>
      <w:r>
        <w:rPr>
          <w:rFonts w:hint="eastAsia" w:ascii="宋体" w:hAnsi="宋体" w:cs="宋体"/>
          <w:b/>
          <w:color w:val="000000"/>
          <w:szCs w:val="21"/>
          <w:lang w:bidi="ar"/>
        </w:rPr>
        <w:t>表6  2021届本科毕业生就业去向情况</w:t>
      </w:r>
    </w:p>
    <w:tbl>
      <w:tblPr>
        <w:tblStyle w:val="9"/>
        <w:tblW w:w="921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749"/>
        <w:gridCol w:w="2501"/>
        <w:gridCol w:w="296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3749" w:type="dxa"/>
            <w:tcBorders>
              <w:tl2br w:val="nil"/>
              <w:tr2bl w:val="nil"/>
            </w:tcBorders>
            <w:shd w:val="clear" w:color="auto" w:fill="auto"/>
            <w:vAlign w:val="center"/>
          </w:tcPr>
          <w:p>
            <w:pPr>
              <w:adjustRightInd w:val="0"/>
              <w:snapToGrid w:val="0"/>
              <w:spacing w:line="0" w:lineRule="atLeast"/>
              <w:jc w:val="center"/>
              <w:rPr>
                <w:rFonts w:ascii="黑体" w:hAnsi="黑体" w:eastAsia="黑体" w:cs="黑体"/>
                <w:color w:val="000000"/>
                <w:szCs w:val="21"/>
              </w:rPr>
            </w:pPr>
            <w:r>
              <w:rPr>
                <w:rFonts w:hint="eastAsia" w:ascii="黑体" w:hAnsi="黑体" w:eastAsia="黑体" w:cs="黑体"/>
                <w:color w:val="000000"/>
                <w:szCs w:val="21"/>
                <w:lang w:bidi="ar"/>
              </w:rPr>
              <w:t>就业去向</w:t>
            </w:r>
          </w:p>
        </w:tc>
        <w:tc>
          <w:tcPr>
            <w:tcW w:w="2501" w:type="dxa"/>
            <w:tcBorders>
              <w:tl2br w:val="nil"/>
              <w:tr2bl w:val="nil"/>
            </w:tcBorders>
            <w:shd w:val="clear" w:color="auto" w:fill="auto"/>
            <w:vAlign w:val="center"/>
          </w:tcPr>
          <w:p>
            <w:pPr>
              <w:adjustRightInd w:val="0"/>
              <w:snapToGrid w:val="0"/>
              <w:spacing w:line="0" w:lineRule="atLeast"/>
              <w:jc w:val="center"/>
              <w:rPr>
                <w:rFonts w:ascii="黑体" w:hAnsi="黑体" w:eastAsia="黑体" w:cs="黑体"/>
                <w:color w:val="000000"/>
                <w:szCs w:val="21"/>
              </w:rPr>
            </w:pPr>
            <w:r>
              <w:rPr>
                <w:rFonts w:hint="eastAsia" w:ascii="黑体" w:hAnsi="黑体" w:eastAsia="黑体" w:cs="黑体"/>
                <w:color w:val="000000"/>
                <w:szCs w:val="21"/>
                <w:lang w:bidi="ar"/>
              </w:rPr>
              <w:t>人数</w:t>
            </w:r>
          </w:p>
        </w:tc>
        <w:tc>
          <w:tcPr>
            <w:tcW w:w="2969" w:type="dxa"/>
            <w:tcBorders>
              <w:tl2br w:val="nil"/>
              <w:tr2bl w:val="nil"/>
            </w:tcBorders>
            <w:shd w:val="clear" w:color="auto" w:fill="auto"/>
            <w:vAlign w:val="center"/>
          </w:tcPr>
          <w:p>
            <w:pPr>
              <w:adjustRightInd w:val="0"/>
              <w:snapToGrid w:val="0"/>
              <w:spacing w:line="0" w:lineRule="atLeast"/>
              <w:jc w:val="center"/>
              <w:rPr>
                <w:rFonts w:ascii="黑体" w:hAnsi="黑体" w:eastAsia="黑体" w:cs="黑体"/>
                <w:color w:val="000000"/>
                <w:szCs w:val="21"/>
              </w:rPr>
            </w:pPr>
            <w:r>
              <w:rPr>
                <w:rFonts w:hint="eastAsia" w:ascii="黑体" w:hAnsi="黑体" w:eastAsia="黑体" w:cs="黑体"/>
                <w:color w:val="000000"/>
                <w:szCs w:val="21"/>
                <w:lang w:bidi="ar"/>
              </w:rPr>
              <w:t>比例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3749" w:type="dxa"/>
            <w:tcBorders>
              <w:tl2br w:val="nil"/>
              <w:tr2bl w:val="nil"/>
            </w:tcBorders>
            <w:shd w:val="clear" w:color="auto" w:fill="auto"/>
            <w:vAlign w:val="center"/>
          </w:tcPr>
          <w:p>
            <w:pPr>
              <w:adjustRightInd w:val="0"/>
              <w:snapToGrid w:val="0"/>
              <w:spacing w:line="0" w:lineRule="atLeast"/>
              <w:jc w:val="center"/>
              <w:rPr>
                <w:rFonts w:ascii="黑体" w:hAnsi="黑体" w:eastAsia="黑体" w:cs="黑体"/>
                <w:color w:val="000000"/>
                <w:szCs w:val="21"/>
              </w:rPr>
            </w:pPr>
            <w:r>
              <w:rPr>
                <w:rFonts w:hint="eastAsia" w:ascii="黑体" w:hAnsi="黑体" w:eastAsia="黑体" w:cs="黑体"/>
                <w:color w:val="000000"/>
                <w:szCs w:val="21"/>
                <w:lang w:bidi="ar"/>
              </w:rPr>
              <w:t>机关、其他事业单位</w:t>
            </w:r>
          </w:p>
        </w:tc>
        <w:tc>
          <w:tcPr>
            <w:tcW w:w="2501" w:type="dxa"/>
            <w:tcBorders>
              <w:tl2br w:val="nil"/>
              <w:tr2bl w:val="nil"/>
            </w:tcBorders>
            <w:shd w:val="clear" w:color="auto" w:fill="auto"/>
            <w:vAlign w:val="center"/>
          </w:tcPr>
          <w:p>
            <w:pPr>
              <w:adjustRightInd w:val="0"/>
              <w:snapToGrid w:val="0"/>
              <w:spacing w:line="0" w:lineRule="atLeast"/>
              <w:jc w:val="center"/>
              <w:rPr>
                <w:rFonts w:ascii="宋体" w:hAnsi="宋体" w:cs="宋体"/>
                <w:szCs w:val="21"/>
              </w:rPr>
            </w:pPr>
            <w:r>
              <w:rPr>
                <w:rFonts w:hint="eastAsia" w:ascii="宋体" w:hAnsi="宋体" w:cs="宋体"/>
                <w:szCs w:val="21"/>
              </w:rPr>
              <w:t>110</w:t>
            </w:r>
          </w:p>
        </w:tc>
        <w:tc>
          <w:tcPr>
            <w:tcW w:w="2969" w:type="dxa"/>
            <w:tcBorders>
              <w:tl2br w:val="nil"/>
              <w:tr2bl w:val="nil"/>
            </w:tcBorders>
            <w:shd w:val="clear" w:color="auto" w:fill="auto"/>
            <w:vAlign w:val="center"/>
          </w:tcPr>
          <w:p>
            <w:pPr>
              <w:adjustRightInd w:val="0"/>
              <w:snapToGrid w:val="0"/>
              <w:spacing w:line="0" w:lineRule="atLeast"/>
              <w:jc w:val="center"/>
              <w:rPr>
                <w:rFonts w:ascii="宋体" w:hAnsi="宋体" w:cs="宋体"/>
                <w:szCs w:val="21"/>
              </w:rPr>
            </w:pPr>
            <w:r>
              <w:rPr>
                <w:rFonts w:hint="eastAsia" w:ascii="宋体" w:hAnsi="宋体" w:cs="宋体"/>
                <w:szCs w:val="21"/>
              </w:rPr>
              <w:t>4.67%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3749" w:type="dxa"/>
            <w:tcBorders>
              <w:tl2br w:val="nil"/>
              <w:tr2bl w:val="nil"/>
            </w:tcBorders>
            <w:shd w:val="clear" w:color="auto" w:fill="auto"/>
            <w:vAlign w:val="center"/>
          </w:tcPr>
          <w:p>
            <w:pPr>
              <w:adjustRightInd w:val="0"/>
              <w:snapToGrid w:val="0"/>
              <w:spacing w:line="0" w:lineRule="atLeast"/>
              <w:jc w:val="center"/>
              <w:rPr>
                <w:rFonts w:ascii="黑体" w:hAnsi="黑体" w:eastAsia="黑体" w:cs="黑体"/>
                <w:color w:val="000000"/>
                <w:szCs w:val="21"/>
              </w:rPr>
            </w:pPr>
            <w:r>
              <w:rPr>
                <w:rFonts w:hint="eastAsia" w:ascii="黑体" w:hAnsi="黑体" w:eastAsia="黑体" w:cs="黑体"/>
                <w:color w:val="000000"/>
                <w:szCs w:val="21"/>
                <w:lang w:bidi="ar"/>
              </w:rPr>
              <w:t>高、中、初等教育单位</w:t>
            </w:r>
          </w:p>
        </w:tc>
        <w:tc>
          <w:tcPr>
            <w:tcW w:w="2501" w:type="dxa"/>
            <w:tcBorders>
              <w:tl2br w:val="nil"/>
              <w:tr2bl w:val="nil"/>
            </w:tcBorders>
            <w:shd w:val="clear" w:color="auto" w:fill="auto"/>
            <w:vAlign w:val="center"/>
          </w:tcPr>
          <w:p>
            <w:pPr>
              <w:adjustRightInd w:val="0"/>
              <w:snapToGrid w:val="0"/>
              <w:spacing w:line="0" w:lineRule="atLeast"/>
              <w:jc w:val="center"/>
              <w:rPr>
                <w:rFonts w:ascii="宋体" w:hAnsi="宋体" w:cs="宋体"/>
                <w:szCs w:val="21"/>
              </w:rPr>
            </w:pPr>
            <w:r>
              <w:rPr>
                <w:rFonts w:hint="eastAsia" w:ascii="宋体" w:hAnsi="宋体" w:cs="宋体"/>
                <w:szCs w:val="21"/>
              </w:rPr>
              <w:t>550</w:t>
            </w:r>
          </w:p>
        </w:tc>
        <w:tc>
          <w:tcPr>
            <w:tcW w:w="2969" w:type="dxa"/>
            <w:tcBorders>
              <w:tl2br w:val="nil"/>
              <w:tr2bl w:val="nil"/>
            </w:tcBorders>
            <w:shd w:val="clear" w:color="auto" w:fill="auto"/>
            <w:vAlign w:val="center"/>
          </w:tcPr>
          <w:p>
            <w:pPr>
              <w:adjustRightInd w:val="0"/>
              <w:snapToGrid w:val="0"/>
              <w:spacing w:line="0" w:lineRule="atLeast"/>
              <w:jc w:val="center"/>
              <w:rPr>
                <w:rFonts w:ascii="宋体" w:hAnsi="宋体" w:cs="宋体"/>
                <w:szCs w:val="21"/>
              </w:rPr>
            </w:pPr>
            <w:r>
              <w:rPr>
                <w:rFonts w:hint="eastAsia" w:ascii="宋体" w:hAnsi="宋体" w:cs="宋体"/>
                <w:szCs w:val="21"/>
              </w:rPr>
              <w:t>23.36%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3749" w:type="dxa"/>
            <w:tcBorders>
              <w:tl2br w:val="nil"/>
              <w:tr2bl w:val="nil"/>
            </w:tcBorders>
            <w:shd w:val="clear" w:color="auto" w:fill="auto"/>
            <w:vAlign w:val="center"/>
          </w:tcPr>
          <w:p>
            <w:pPr>
              <w:adjustRightInd w:val="0"/>
              <w:snapToGrid w:val="0"/>
              <w:spacing w:line="0" w:lineRule="atLeast"/>
              <w:jc w:val="center"/>
              <w:rPr>
                <w:rFonts w:ascii="黑体" w:hAnsi="黑体" w:eastAsia="黑体" w:cs="黑体"/>
                <w:color w:val="000000"/>
                <w:szCs w:val="21"/>
              </w:rPr>
            </w:pPr>
            <w:r>
              <w:rPr>
                <w:rFonts w:hint="eastAsia" w:ascii="黑体" w:hAnsi="黑体" w:eastAsia="黑体" w:cs="黑体"/>
                <w:color w:val="000000"/>
                <w:szCs w:val="21"/>
                <w:lang w:bidi="ar"/>
              </w:rPr>
              <w:t>医疗卫生单位</w:t>
            </w:r>
          </w:p>
        </w:tc>
        <w:tc>
          <w:tcPr>
            <w:tcW w:w="2501" w:type="dxa"/>
            <w:tcBorders>
              <w:tl2br w:val="nil"/>
              <w:tr2bl w:val="nil"/>
            </w:tcBorders>
            <w:shd w:val="clear" w:color="auto" w:fill="auto"/>
            <w:vAlign w:val="center"/>
          </w:tcPr>
          <w:p>
            <w:pPr>
              <w:adjustRightInd w:val="0"/>
              <w:snapToGrid w:val="0"/>
              <w:spacing w:line="0" w:lineRule="atLeast"/>
              <w:jc w:val="center"/>
              <w:rPr>
                <w:rFonts w:ascii="宋体" w:hAnsi="宋体" w:cs="宋体"/>
                <w:szCs w:val="21"/>
              </w:rPr>
            </w:pPr>
            <w:r>
              <w:rPr>
                <w:rFonts w:hint="eastAsia" w:ascii="宋体" w:hAnsi="宋体" w:cs="宋体"/>
                <w:szCs w:val="21"/>
              </w:rPr>
              <w:t>120</w:t>
            </w:r>
          </w:p>
        </w:tc>
        <w:tc>
          <w:tcPr>
            <w:tcW w:w="2969" w:type="dxa"/>
            <w:tcBorders>
              <w:tl2br w:val="nil"/>
              <w:tr2bl w:val="nil"/>
            </w:tcBorders>
            <w:shd w:val="clear" w:color="auto" w:fill="auto"/>
            <w:vAlign w:val="center"/>
          </w:tcPr>
          <w:p>
            <w:pPr>
              <w:adjustRightInd w:val="0"/>
              <w:snapToGrid w:val="0"/>
              <w:spacing w:line="0" w:lineRule="atLeast"/>
              <w:jc w:val="center"/>
              <w:rPr>
                <w:rFonts w:ascii="宋体" w:hAnsi="宋体" w:cs="宋体"/>
                <w:szCs w:val="21"/>
              </w:rPr>
            </w:pPr>
            <w:r>
              <w:rPr>
                <w:rFonts w:hint="eastAsia" w:ascii="宋体" w:hAnsi="宋体" w:cs="宋体"/>
                <w:szCs w:val="21"/>
              </w:rPr>
              <w:t>5.10%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3749" w:type="dxa"/>
            <w:tcBorders>
              <w:tl2br w:val="nil"/>
              <w:tr2bl w:val="nil"/>
            </w:tcBorders>
            <w:shd w:val="clear" w:color="auto" w:fill="auto"/>
            <w:vAlign w:val="center"/>
          </w:tcPr>
          <w:p>
            <w:pPr>
              <w:adjustRightInd w:val="0"/>
              <w:snapToGrid w:val="0"/>
              <w:spacing w:line="0" w:lineRule="atLeast"/>
              <w:jc w:val="center"/>
              <w:rPr>
                <w:rFonts w:ascii="黑体" w:hAnsi="黑体" w:eastAsia="黑体" w:cs="黑体"/>
                <w:color w:val="000000"/>
                <w:szCs w:val="21"/>
              </w:rPr>
            </w:pPr>
            <w:r>
              <w:rPr>
                <w:rFonts w:hint="eastAsia" w:ascii="黑体" w:hAnsi="黑体" w:eastAsia="黑体" w:cs="黑体"/>
                <w:color w:val="000000"/>
                <w:szCs w:val="21"/>
                <w:lang w:bidi="ar"/>
              </w:rPr>
              <w:t>国有、三资及其他企业</w:t>
            </w:r>
          </w:p>
        </w:tc>
        <w:tc>
          <w:tcPr>
            <w:tcW w:w="2501" w:type="dxa"/>
            <w:tcBorders>
              <w:tl2br w:val="nil"/>
              <w:tr2bl w:val="nil"/>
            </w:tcBorders>
            <w:shd w:val="clear" w:color="auto" w:fill="auto"/>
            <w:vAlign w:val="center"/>
          </w:tcPr>
          <w:p>
            <w:pPr>
              <w:adjustRightInd w:val="0"/>
              <w:snapToGrid w:val="0"/>
              <w:spacing w:line="0" w:lineRule="atLeast"/>
              <w:jc w:val="center"/>
              <w:rPr>
                <w:rFonts w:ascii="宋体" w:hAnsi="宋体" w:cs="宋体"/>
                <w:szCs w:val="21"/>
              </w:rPr>
            </w:pPr>
            <w:r>
              <w:rPr>
                <w:rFonts w:hint="eastAsia" w:ascii="宋体" w:hAnsi="宋体" w:cs="宋体"/>
                <w:szCs w:val="21"/>
              </w:rPr>
              <w:t>924</w:t>
            </w:r>
          </w:p>
        </w:tc>
        <w:tc>
          <w:tcPr>
            <w:tcW w:w="2969" w:type="dxa"/>
            <w:tcBorders>
              <w:tl2br w:val="nil"/>
              <w:tr2bl w:val="nil"/>
            </w:tcBorders>
            <w:shd w:val="clear" w:color="auto" w:fill="auto"/>
            <w:vAlign w:val="center"/>
          </w:tcPr>
          <w:p>
            <w:pPr>
              <w:adjustRightInd w:val="0"/>
              <w:snapToGrid w:val="0"/>
              <w:spacing w:line="0" w:lineRule="atLeast"/>
              <w:jc w:val="center"/>
              <w:rPr>
                <w:rFonts w:ascii="宋体" w:hAnsi="宋体" w:cs="宋体"/>
                <w:szCs w:val="21"/>
              </w:rPr>
            </w:pPr>
            <w:r>
              <w:rPr>
                <w:rFonts w:hint="eastAsia" w:ascii="宋体" w:hAnsi="宋体" w:cs="宋体"/>
                <w:szCs w:val="21"/>
              </w:rPr>
              <w:t>39.25%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3749" w:type="dxa"/>
            <w:tcBorders>
              <w:tl2br w:val="nil"/>
              <w:tr2bl w:val="nil"/>
            </w:tcBorders>
            <w:shd w:val="clear" w:color="auto" w:fill="auto"/>
            <w:vAlign w:val="center"/>
          </w:tcPr>
          <w:p>
            <w:pPr>
              <w:adjustRightInd w:val="0"/>
              <w:snapToGrid w:val="0"/>
              <w:spacing w:line="0" w:lineRule="atLeast"/>
              <w:jc w:val="center"/>
              <w:rPr>
                <w:rFonts w:ascii="黑体" w:hAnsi="黑体" w:eastAsia="黑体" w:cs="黑体"/>
                <w:color w:val="000000"/>
                <w:szCs w:val="21"/>
              </w:rPr>
            </w:pPr>
            <w:r>
              <w:rPr>
                <w:rFonts w:hint="eastAsia" w:ascii="黑体" w:hAnsi="黑体" w:eastAsia="黑体" w:cs="黑体"/>
                <w:color w:val="000000"/>
                <w:szCs w:val="21"/>
                <w:lang w:bidi="ar"/>
              </w:rPr>
              <w:t>出国、国内考研</w:t>
            </w:r>
          </w:p>
        </w:tc>
        <w:tc>
          <w:tcPr>
            <w:tcW w:w="2501" w:type="dxa"/>
            <w:tcBorders>
              <w:tl2br w:val="nil"/>
              <w:tr2bl w:val="nil"/>
            </w:tcBorders>
            <w:shd w:val="clear" w:color="auto" w:fill="auto"/>
            <w:vAlign w:val="center"/>
          </w:tcPr>
          <w:p>
            <w:pPr>
              <w:adjustRightInd w:val="0"/>
              <w:snapToGrid w:val="0"/>
              <w:spacing w:line="0" w:lineRule="atLeast"/>
              <w:jc w:val="center"/>
              <w:rPr>
                <w:rFonts w:ascii="宋体" w:hAnsi="宋体" w:cs="宋体"/>
                <w:szCs w:val="21"/>
              </w:rPr>
            </w:pPr>
            <w:r>
              <w:rPr>
                <w:rFonts w:hint="eastAsia" w:ascii="宋体" w:hAnsi="宋体" w:cs="宋体"/>
                <w:szCs w:val="21"/>
              </w:rPr>
              <w:t>343</w:t>
            </w:r>
          </w:p>
        </w:tc>
        <w:tc>
          <w:tcPr>
            <w:tcW w:w="2969" w:type="dxa"/>
            <w:tcBorders>
              <w:tl2br w:val="nil"/>
              <w:tr2bl w:val="nil"/>
            </w:tcBorders>
            <w:shd w:val="clear" w:color="auto" w:fill="auto"/>
            <w:vAlign w:val="center"/>
          </w:tcPr>
          <w:p>
            <w:pPr>
              <w:adjustRightInd w:val="0"/>
              <w:snapToGrid w:val="0"/>
              <w:spacing w:line="0" w:lineRule="atLeast"/>
              <w:jc w:val="center"/>
              <w:rPr>
                <w:rFonts w:ascii="宋体" w:hAnsi="宋体" w:cs="宋体"/>
                <w:szCs w:val="21"/>
              </w:rPr>
            </w:pPr>
            <w:r>
              <w:rPr>
                <w:rFonts w:hint="eastAsia" w:ascii="宋体" w:hAnsi="宋体" w:cs="宋体"/>
                <w:szCs w:val="21"/>
              </w:rPr>
              <w:t>15.12%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3749" w:type="dxa"/>
            <w:tcBorders>
              <w:tl2br w:val="nil"/>
              <w:tr2bl w:val="nil"/>
            </w:tcBorders>
            <w:shd w:val="clear" w:color="auto" w:fill="auto"/>
            <w:vAlign w:val="center"/>
          </w:tcPr>
          <w:p>
            <w:pPr>
              <w:adjustRightInd w:val="0"/>
              <w:snapToGrid w:val="0"/>
              <w:spacing w:line="0" w:lineRule="atLeast"/>
              <w:jc w:val="center"/>
              <w:rPr>
                <w:rFonts w:ascii="黑体" w:hAnsi="黑体" w:eastAsia="黑体" w:cs="黑体"/>
                <w:color w:val="000000"/>
                <w:szCs w:val="21"/>
              </w:rPr>
            </w:pPr>
            <w:r>
              <w:rPr>
                <w:rFonts w:hint="eastAsia" w:ascii="黑体" w:hAnsi="黑体" w:eastAsia="黑体" w:cs="黑体"/>
                <w:color w:val="000000"/>
                <w:szCs w:val="21"/>
                <w:lang w:bidi="ar"/>
              </w:rPr>
              <w:t>创业</w:t>
            </w:r>
          </w:p>
        </w:tc>
        <w:tc>
          <w:tcPr>
            <w:tcW w:w="2501" w:type="dxa"/>
            <w:tcBorders>
              <w:tl2br w:val="nil"/>
              <w:tr2bl w:val="nil"/>
            </w:tcBorders>
            <w:shd w:val="clear" w:color="auto" w:fill="auto"/>
            <w:vAlign w:val="center"/>
          </w:tcPr>
          <w:p>
            <w:pPr>
              <w:adjustRightInd w:val="0"/>
              <w:snapToGrid w:val="0"/>
              <w:spacing w:line="0" w:lineRule="atLeast"/>
              <w:jc w:val="center"/>
              <w:rPr>
                <w:rFonts w:ascii="宋体" w:hAnsi="宋体" w:cs="宋体"/>
                <w:szCs w:val="21"/>
              </w:rPr>
            </w:pPr>
            <w:r>
              <w:rPr>
                <w:rFonts w:hint="eastAsia" w:ascii="宋体" w:hAnsi="宋体" w:cs="宋体"/>
                <w:szCs w:val="21"/>
              </w:rPr>
              <w:t>12</w:t>
            </w:r>
          </w:p>
        </w:tc>
        <w:tc>
          <w:tcPr>
            <w:tcW w:w="2969" w:type="dxa"/>
            <w:tcBorders>
              <w:tl2br w:val="nil"/>
              <w:tr2bl w:val="nil"/>
            </w:tcBorders>
            <w:shd w:val="clear" w:color="auto" w:fill="auto"/>
            <w:vAlign w:val="center"/>
          </w:tcPr>
          <w:p>
            <w:pPr>
              <w:adjustRightInd w:val="0"/>
              <w:snapToGrid w:val="0"/>
              <w:spacing w:line="0" w:lineRule="atLeast"/>
              <w:jc w:val="center"/>
              <w:rPr>
                <w:rFonts w:ascii="宋体" w:hAnsi="宋体" w:cs="宋体"/>
                <w:szCs w:val="21"/>
              </w:rPr>
            </w:pPr>
            <w:r>
              <w:rPr>
                <w:rFonts w:hint="eastAsia" w:ascii="宋体" w:hAnsi="宋体" w:cs="宋体"/>
                <w:szCs w:val="21"/>
              </w:rPr>
              <w:t>0.51%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3749" w:type="dxa"/>
            <w:tcBorders>
              <w:tl2br w:val="nil"/>
              <w:tr2bl w:val="nil"/>
            </w:tcBorders>
            <w:shd w:val="clear" w:color="auto" w:fill="auto"/>
            <w:vAlign w:val="center"/>
          </w:tcPr>
          <w:p>
            <w:pPr>
              <w:adjustRightInd w:val="0"/>
              <w:snapToGrid w:val="0"/>
              <w:spacing w:line="0" w:lineRule="atLeast"/>
              <w:jc w:val="center"/>
              <w:rPr>
                <w:rFonts w:ascii="黑体" w:hAnsi="黑体" w:eastAsia="黑体" w:cs="黑体"/>
                <w:color w:val="000000"/>
                <w:szCs w:val="21"/>
              </w:rPr>
            </w:pPr>
            <w:r>
              <w:rPr>
                <w:rFonts w:hint="eastAsia" w:ascii="黑体" w:hAnsi="黑体" w:eastAsia="黑体" w:cs="黑体"/>
                <w:color w:val="000000"/>
                <w:szCs w:val="21"/>
                <w:lang w:bidi="ar"/>
              </w:rPr>
              <w:t>其他</w:t>
            </w:r>
          </w:p>
        </w:tc>
        <w:tc>
          <w:tcPr>
            <w:tcW w:w="2501" w:type="dxa"/>
            <w:tcBorders>
              <w:tl2br w:val="nil"/>
              <w:tr2bl w:val="nil"/>
            </w:tcBorders>
            <w:shd w:val="clear" w:color="auto" w:fill="auto"/>
            <w:vAlign w:val="center"/>
          </w:tcPr>
          <w:p>
            <w:pPr>
              <w:adjustRightInd w:val="0"/>
              <w:snapToGrid w:val="0"/>
              <w:spacing w:line="0" w:lineRule="atLeast"/>
              <w:jc w:val="center"/>
              <w:rPr>
                <w:rFonts w:ascii="宋体" w:hAnsi="宋体" w:cs="宋体"/>
                <w:szCs w:val="21"/>
              </w:rPr>
            </w:pPr>
            <w:r>
              <w:rPr>
                <w:rFonts w:hint="eastAsia" w:ascii="宋体" w:hAnsi="宋体" w:cs="宋体"/>
                <w:szCs w:val="21"/>
              </w:rPr>
              <w:t>195</w:t>
            </w:r>
          </w:p>
        </w:tc>
        <w:tc>
          <w:tcPr>
            <w:tcW w:w="2969" w:type="dxa"/>
            <w:tcBorders>
              <w:tl2br w:val="nil"/>
              <w:tr2bl w:val="nil"/>
            </w:tcBorders>
            <w:shd w:val="clear" w:color="auto" w:fill="auto"/>
            <w:vAlign w:val="center"/>
          </w:tcPr>
          <w:p>
            <w:pPr>
              <w:adjustRightInd w:val="0"/>
              <w:snapToGrid w:val="0"/>
              <w:spacing w:line="0" w:lineRule="atLeast"/>
              <w:jc w:val="center"/>
              <w:rPr>
                <w:rFonts w:ascii="宋体" w:hAnsi="宋体" w:cs="宋体"/>
                <w:szCs w:val="21"/>
              </w:rPr>
            </w:pPr>
            <w:r>
              <w:rPr>
                <w:rFonts w:hint="eastAsia" w:ascii="宋体" w:hAnsi="宋体" w:cs="宋体"/>
                <w:szCs w:val="21"/>
              </w:rPr>
              <w:t>8.28%</w:t>
            </w:r>
          </w:p>
        </w:tc>
      </w:tr>
    </w:tbl>
    <w:p>
      <w:pPr>
        <w:spacing w:line="400" w:lineRule="exact"/>
        <w:ind w:firstLine="456" w:firstLineChars="200"/>
        <w:rPr>
          <w:rFonts w:ascii="宋体" w:hAnsi="宋体" w:cs="宋体"/>
          <w:b/>
          <w:bCs/>
          <w:sz w:val="24"/>
        </w:rPr>
      </w:pPr>
    </w:p>
    <w:p>
      <w:pPr>
        <w:rPr>
          <w:rFonts w:ascii="黑体" w:hAnsi="黑体" w:eastAsia="黑体" w:cs="黑体"/>
          <w:sz w:val="28"/>
          <w:szCs w:val="28"/>
        </w:rPr>
      </w:pPr>
      <w:r>
        <w:rPr>
          <w:rFonts w:hint="eastAsia" w:ascii="黑体" w:hAnsi="黑体" w:eastAsia="黑体" w:cs="黑体"/>
          <w:sz w:val="28"/>
          <w:szCs w:val="28"/>
        </w:rPr>
        <w:t>（三）毕业生对母校的满意度</w:t>
      </w:r>
    </w:p>
    <w:p>
      <w:pPr>
        <w:adjustRightInd w:val="0"/>
        <w:snapToGrid w:val="0"/>
        <w:rPr>
          <w:rFonts w:ascii="黑体" w:hAnsi="黑体" w:eastAsia="黑体" w:cs="黑体"/>
          <w:sz w:val="24"/>
        </w:rPr>
      </w:pPr>
      <w:r>
        <w:rPr>
          <w:rFonts w:hint="eastAsia" w:ascii="黑体" w:hAnsi="黑体" w:eastAsia="黑体" w:cs="黑体"/>
          <w:sz w:val="24"/>
        </w:rPr>
        <w:t>1. 毕业生对母校的满意度</w:t>
      </w:r>
    </w:p>
    <w:p>
      <w:pPr>
        <w:spacing w:line="400" w:lineRule="exact"/>
        <w:ind w:firstLine="456" w:firstLineChars="200"/>
        <w:rPr>
          <w:rFonts w:ascii="宋体" w:hAnsi="宋体" w:cs="宋体"/>
          <w:sz w:val="24"/>
        </w:rPr>
      </w:pPr>
      <w:bookmarkStart w:id="0" w:name="_Toc509222147"/>
      <w:r>
        <w:rPr>
          <w:rFonts w:hint="eastAsia" w:ascii="宋体" w:hAnsi="宋体" w:cs="宋体"/>
          <w:sz w:val="24"/>
        </w:rPr>
        <w:t xml:space="preserve">根据浙江省教育评估院发布的2019届（毕业一年后）和2017届（毕业三年后）高校毕业生职业发展状况及人才培养质量调查报告显示，我校2019届毕业生对母校总体满意度得分为89.79分，高于全省（87.35分）和本科院校（86.23分）的平均水平，在全省普通本科院校（不含独立学院）中排名第11位，较去年上升了18个位次。2017届毕业生（毕业三年后）对母校的总体满意度得分为90.10分，高于全省（89.12分）和本科院校（88.07分）的平均水平，在全省普通本科院校（不含独立学院）中排名第12位。      </w:t>
      </w:r>
    </w:p>
    <w:p>
      <w:pPr>
        <w:spacing w:line="400" w:lineRule="exact"/>
        <w:jc w:val="center"/>
        <w:rPr>
          <w:rFonts w:ascii="宋体" w:hAnsi="宋体" w:cs="宋体"/>
          <w:b/>
          <w:szCs w:val="21"/>
        </w:rPr>
      </w:pPr>
      <w:r>
        <w:rPr>
          <w:rFonts w:hint="eastAsia" w:ascii="宋体" w:hAnsi="宋体" w:cs="宋体"/>
          <w:b/>
          <w:szCs w:val="21"/>
        </w:rPr>
        <w:t>表7  2019届毕业生满意度与2018届毕业生满意度比较</w:t>
      </w:r>
      <w:bookmarkEnd w:id="0"/>
    </w:p>
    <w:tbl>
      <w:tblPr>
        <w:tblStyle w:val="9"/>
        <w:tblW w:w="924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FFFFF"/>
        <w:tblLayout w:type="fixed"/>
        <w:tblCellMar>
          <w:top w:w="0" w:type="dxa"/>
          <w:left w:w="51" w:type="dxa"/>
          <w:bottom w:w="0" w:type="dxa"/>
          <w:right w:w="51" w:type="dxa"/>
        </w:tblCellMar>
      </w:tblPr>
      <w:tblGrid>
        <w:gridCol w:w="991"/>
        <w:gridCol w:w="857"/>
        <w:gridCol w:w="1267"/>
        <w:gridCol w:w="870"/>
        <w:gridCol w:w="765"/>
        <w:gridCol w:w="1110"/>
        <w:gridCol w:w="930"/>
        <w:gridCol w:w="851"/>
        <w:gridCol w:w="821"/>
        <w:gridCol w:w="77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FFFFF"/>
          <w:tblCellMar>
            <w:top w:w="0" w:type="dxa"/>
            <w:left w:w="51" w:type="dxa"/>
            <w:bottom w:w="0" w:type="dxa"/>
            <w:right w:w="51" w:type="dxa"/>
          </w:tblCellMar>
        </w:tblPrEx>
        <w:trPr>
          <w:trHeight w:val="544" w:hRule="atLeast"/>
          <w:jc w:val="center"/>
        </w:trPr>
        <w:tc>
          <w:tcPr>
            <w:tcW w:w="990" w:type="dxa"/>
            <w:shd w:val="clear" w:color="auto" w:fill="FFFFFF"/>
            <w:vAlign w:val="center"/>
          </w:tcPr>
          <w:p>
            <w:pPr>
              <w:adjustRightInd w:val="0"/>
              <w:snapToGrid w:val="0"/>
              <w:spacing w:line="0" w:lineRule="atLeast"/>
              <w:jc w:val="center"/>
              <w:rPr>
                <w:rFonts w:ascii="黑体" w:hAnsi="黑体" w:eastAsia="黑体" w:cs="黑体"/>
                <w:szCs w:val="21"/>
              </w:rPr>
            </w:pPr>
            <w:r>
              <w:rPr>
                <w:rFonts w:hint="eastAsia" w:ascii="黑体" w:hAnsi="黑体" w:eastAsia="黑体" w:cs="黑体"/>
                <w:szCs w:val="21"/>
              </w:rPr>
              <w:t>类别</w:t>
            </w:r>
          </w:p>
        </w:tc>
        <w:tc>
          <w:tcPr>
            <w:tcW w:w="856" w:type="dxa"/>
            <w:shd w:val="clear" w:color="auto" w:fill="FFFFFF"/>
            <w:vAlign w:val="center"/>
          </w:tcPr>
          <w:p>
            <w:pPr>
              <w:adjustRightInd w:val="0"/>
              <w:snapToGrid w:val="0"/>
              <w:spacing w:line="0" w:lineRule="atLeast"/>
              <w:jc w:val="center"/>
              <w:rPr>
                <w:rFonts w:ascii="黑体" w:hAnsi="黑体" w:eastAsia="黑体" w:cs="黑体"/>
                <w:szCs w:val="21"/>
              </w:rPr>
            </w:pPr>
            <w:r>
              <w:rPr>
                <w:rFonts w:hint="eastAsia" w:ascii="黑体" w:hAnsi="黑体" w:eastAsia="黑体" w:cs="黑体"/>
                <w:szCs w:val="21"/>
              </w:rPr>
              <w:t>总体满意度</w:t>
            </w:r>
          </w:p>
        </w:tc>
        <w:tc>
          <w:tcPr>
            <w:tcW w:w="1266" w:type="dxa"/>
            <w:shd w:val="clear" w:color="auto" w:fill="FFFFFF"/>
            <w:vAlign w:val="center"/>
          </w:tcPr>
          <w:p>
            <w:pPr>
              <w:adjustRightInd w:val="0"/>
              <w:snapToGrid w:val="0"/>
              <w:spacing w:line="0" w:lineRule="atLeast"/>
              <w:jc w:val="center"/>
              <w:rPr>
                <w:rFonts w:ascii="黑体" w:hAnsi="黑体" w:eastAsia="黑体" w:cs="黑体"/>
                <w:szCs w:val="21"/>
              </w:rPr>
            </w:pPr>
            <w:r>
              <w:rPr>
                <w:rFonts w:hint="eastAsia" w:ascii="黑体" w:hAnsi="黑体" w:eastAsia="黑体" w:cs="黑体"/>
                <w:szCs w:val="21"/>
              </w:rPr>
              <w:t>专业课程课堂教学效果</w:t>
            </w:r>
          </w:p>
        </w:tc>
        <w:tc>
          <w:tcPr>
            <w:tcW w:w="869" w:type="dxa"/>
            <w:shd w:val="clear" w:color="auto" w:fill="FFFFFF"/>
            <w:vAlign w:val="center"/>
          </w:tcPr>
          <w:p>
            <w:pPr>
              <w:adjustRightInd w:val="0"/>
              <w:snapToGrid w:val="0"/>
              <w:spacing w:line="0" w:lineRule="atLeast"/>
              <w:jc w:val="center"/>
              <w:rPr>
                <w:rFonts w:ascii="黑体" w:hAnsi="黑体" w:eastAsia="黑体" w:cs="黑体"/>
                <w:szCs w:val="21"/>
              </w:rPr>
            </w:pPr>
            <w:r>
              <w:rPr>
                <w:rFonts w:hint="eastAsia" w:ascii="黑体" w:hAnsi="黑体" w:eastAsia="黑体" w:cs="黑体"/>
                <w:szCs w:val="21"/>
              </w:rPr>
              <w:t>实践教学效果</w:t>
            </w:r>
          </w:p>
        </w:tc>
        <w:tc>
          <w:tcPr>
            <w:tcW w:w="764" w:type="dxa"/>
            <w:shd w:val="clear" w:color="auto" w:fill="FFFFFF"/>
            <w:vAlign w:val="center"/>
          </w:tcPr>
          <w:p>
            <w:pPr>
              <w:adjustRightInd w:val="0"/>
              <w:snapToGrid w:val="0"/>
              <w:spacing w:line="0" w:lineRule="atLeast"/>
              <w:jc w:val="center"/>
              <w:rPr>
                <w:rFonts w:ascii="黑体" w:hAnsi="黑体" w:eastAsia="黑体" w:cs="黑体"/>
                <w:szCs w:val="21"/>
              </w:rPr>
            </w:pPr>
            <w:r>
              <w:rPr>
                <w:rFonts w:hint="eastAsia" w:ascii="黑体" w:hAnsi="黑体" w:eastAsia="黑体" w:cs="黑体"/>
                <w:szCs w:val="21"/>
              </w:rPr>
              <w:t>教学</w:t>
            </w:r>
          </w:p>
          <w:p>
            <w:pPr>
              <w:adjustRightInd w:val="0"/>
              <w:snapToGrid w:val="0"/>
              <w:spacing w:line="0" w:lineRule="atLeast"/>
              <w:jc w:val="center"/>
              <w:rPr>
                <w:rFonts w:ascii="黑体" w:hAnsi="黑体" w:eastAsia="黑体" w:cs="黑体"/>
                <w:szCs w:val="21"/>
              </w:rPr>
            </w:pPr>
            <w:r>
              <w:rPr>
                <w:rFonts w:hint="eastAsia" w:ascii="黑体" w:hAnsi="黑体" w:eastAsia="黑体" w:cs="黑体"/>
                <w:szCs w:val="21"/>
              </w:rPr>
              <w:t>水平</w:t>
            </w:r>
          </w:p>
        </w:tc>
        <w:tc>
          <w:tcPr>
            <w:tcW w:w="1109" w:type="dxa"/>
            <w:shd w:val="clear" w:color="auto" w:fill="FFFFFF"/>
            <w:vAlign w:val="center"/>
          </w:tcPr>
          <w:p>
            <w:pPr>
              <w:adjustRightInd w:val="0"/>
              <w:snapToGrid w:val="0"/>
              <w:spacing w:line="0" w:lineRule="atLeast"/>
              <w:jc w:val="center"/>
              <w:rPr>
                <w:rFonts w:ascii="黑体" w:hAnsi="黑体" w:eastAsia="黑体" w:cs="黑体"/>
                <w:szCs w:val="21"/>
              </w:rPr>
            </w:pPr>
            <w:r>
              <w:rPr>
                <w:rFonts w:hint="eastAsia" w:ascii="黑体" w:hAnsi="黑体" w:eastAsia="黑体" w:cs="黑体"/>
                <w:szCs w:val="21"/>
              </w:rPr>
              <w:t>发展机会和锻炼平台</w:t>
            </w:r>
          </w:p>
        </w:tc>
        <w:tc>
          <w:tcPr>
            <w:tcW w:w="929" w:type="dxa"/>
            <w:shd w:val="clear" w:color="auto" w:fill="FFFFFF"/>
            <w:vAlign w:val="center"/>
          </w:tcPr>
          <w:p>
            <w:pPr>
              <w:adjustRightInd w:val="0"/>
              <w:snapToGrid w:val="0"/>
              <w:spacing w:line="0" w:lineRule="atLeast"/>
              <w:jc w:val="center"/>
              <w:rPr>
                <w:rFonts w:ascii="黑体" w:hAnsi="黑体" w:eastAsia="黑体" w:cs="黑体"/>
                <w:szCs w:val="21"/>
              </w:rPr>
            </w:pPr>
            <w:r>
              <w:rPr>
                <w:rFonts w:hint="eastAsia" w:ascii="黑体" w:hAnsi="黑体" w:eastAsia="黑体" w:cs="黑体"/>
                <w:szCs w:val="21"/>
              </w:rPr>
              <w:t>创新创业教育及导</w:t>
            </w:r>
          </w:p>
        </w:tc>
        <w:tc>
          <w:tcPr>
            <w:tcW w:w="850" w:type="dxa"/>
            <w:shd w:val="clear" w:color="auto" w:fill="FFFFFF"/>
            <w:vAlign w:val="center"/>
          </w:tcPr>
          <w:p>
            <w:pPr>
              <w:adjustRightInd w:val="0"/>
              <w:snapToGrid w:val="0"/>
              <w:spacing w:line="0" w:lineRule="atLeast"/>
              <w:jc w:val="center"/>
              <w:rPr>
                <w:rFonts w:ascii="黑体" w:hAnsi="黑体" w:eastAsia="黑体" w:cs="黑体"/>
                <w:szCs w:val="21"/>
              </w:rPr>
            </w:pPr>
            <w:r>
              <w:rPr>
                <w:rFonts w:hint="eastAsia" w:ascii="黑体" w:hAnsi="黑体" w:eastAsia="黑体" w:cs="黑体"/>
                <w:szCs w:val="21"/>
              </w:rPr>
              <w:t>就业求职服务</w:t>
            </w:r>
          </w:p>
        </w:tc>
        <w:tc>
          <w:tcPr>
            <w:tcW w:w="820" w:type="dxa"/>
            <w:shd w:val="clear" w:color="auto" w:fill="FFFFFF"/>
            <w:vAlign w:val="center"/>
          </w:tcPr>
          <w:p>
            <w:pPr>
              <w:adjustRightInd w:val="0"/>
              <w:snapToGrid w:val="0"/>
              <w:spacing w:line="0" w:lineRule="atLeast"/>
              <w:jc w:val="center"/>
              <w:rPr>
                <w:rFonts w:ascii="黑体" w:hAnsi="黑体" w:eastAsia="黑体" w:cs="黑体"/>
                <w:szCs w:val="21"/>
              </w:rPr>
            </w:pPr>
            <w:r>
              <w:rPr>
                <w:rFonts w:hint="eastAsia" w:ascii="黑体" w:hAnsi="黑体" w:eastAsia="黑体" w:cs="黑体"/>
                <w:szCs w:val="21"/>
              </w:rPr>
              <w:t>师德</w:t>
            </w:r>
          </w:p>
          <w:p>
            <w:pPr>
              <w:adjustRightInd w:val="0"/>
              <w:snapToGrid w:val="0"/>
              <w:spacing w:line="0" w:lineRule="atLeast"/>
              <w:jc w:val="center"/>
              <w:rPr>
                <w:rFonts w:ascii="黑体" w:hAnsi="黑体" w:eastAsia="黑体" w:cs="黑体"/>
                <w:szCs w:val="21"/>
              </w:rPr>
            </w:pPr>
            <w:r>
              <w:rPr>
                <w:rFonts w:hint="eastAsia" w:ascii="黑体" w:hAnsi="黑体" w:eastAsia="黑体" w:cs="黑体"/>
                <w:szCs w:val="21"/>
              </w:rPr>
              <w:t>师风</w:t>
            </w:r>
          </w:p>
        </w:tc>
        <w:tc>
          <w:tcPr>
            <w:tcW w:w="778" w:type="dxa"/>
            <w:shd w:val="clear" w:color="auto" w:fill="FFFFFF"/>
            <w:vAlign w:val="center"/>
          </w:tcPr>
          <w:p>
            <w:pPr>
              <w:adjustRightInd w:val="0"/>
              <w:snapToGrid w:val="0"/>
              <w:spacing w:line="0" w:lineRule="atLeast"/>
              <w:jc w:val="center"/>
              <w:rPr>
                <w:rFonts w:ascii="黑体" w:hAnsi="黑体" w:eastAsia="黑体" w:cs="黑体"/>
                <w:szCs w:val="21"/>
              </w:rPr>
            </w:pPr>
            <w:r>
              <w:rPr>
                <w:rFonts w:hint="eastAsia" w:ascii="黑体" w:hAnsi="黑体" w:eastAsia="黑体" w:cs="黑体"/>
                <w:szCs w:val="21"/>
              </w:rPr>
              <w:t>校风</w:t>
            </w:r>
          </w:p>
          <w:p>
            <w:pPr>
              <w:adjustRightInd w:val="0"/>
              <w:snapToGrid w:val="0"/>
              <w:spacing w:line="0" w:lineRule="atLeast"/>
              <w:jc w:val="center"/>
              <w:rPr>
                <w:rFonts w:ascii="黑体" w:hAnsi="黑体" w:eastAsia="黑体" w:cs="黑体"/>
                <w:szCs w:val="21"/>
              </w:rPr>
            </w:pPr>
            <w:r>
              <w:rPr>
                <w:rFonts w:hint="eastAsia" w:ascii="黑体" w:hAnsi="黑体" w:eastAsia="黑体" w:cs="黑体"/>
                <w:szCs w:val="21"/>
              </w:rPr>
              <w:t>学风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1" w:type="dxa"/>
            <w:bottom w:w="0" w:type="dxa"/>
            <w:right w:w="51" w:type="dxa"/>
          </w:tblCellMar>
        </w:tblPrEx>
        <w:trPr>
          <w:trHeight w:val="454" w:hRule="atLeast"/>
          <w:jc w:val="center"/>
        </w:trPr>
        <w:tc>
          <w:tcPr>
            <w:tcW w:w="990" w:type="dxa"/>
            <w:shd w:val="clear" w:color="auto" w:fill="FFFFFF"/>
            <w:noWrap/>
            <w:vAlign w:val="center"/>
          </w:tcPr>
          <w:p>
            <w:pPr>
              <w:adjustRightInd w:val="0"/>
              <w:snapToGrid w:val="0"/>
              <w:spacing w:line="0" w:lineRule="atLeast"/>
              <w:jc w:val="center"/>
              <w:rPr>
                <w:rFonts w:ascii="宋体" w:hAnsi="宋体" w:cs="宋体"/>
                <w:szCs w:val="21"/>
              </w:rPr>
            </w:pPr>
            <w:r>
              <w:rPr>
                <w:rFonts w:hint="eastAsia" w:ascii="宋体" w:hAnsi="宋体" w:cs="宋体"/>
                <w:szCs w:val="21"/>
              </w:rPr>
              <w:t>2019届</w:t>
            </w:r>
          </w:p>
        </w:tc>
        <w:tc>
          <w:tcPr>
            <w:tcW w:w="856" w:type="dxa"/>
            <w:shd w:val="clear" w:color="auto" w:fill="FFFFFF"/>
            <w:noWrap/>
            <w:vAlign w:val="center"/>
          </w:tcPr>
          <w:p>
            <w:pPr>
              <w:adjustRightInd w:val="0"/>
              <w:snapToGrid w:val="0"/>
              <w:spacing w:line="0" w:lineRule="atLeast"/>
              <w:jc w:val="center"/>
              <w:rPr>
                <w:rFonts w:ascii="宋体" w:hAnsi="宋体" w:cs="宋体"/>
                <w:szCs w:val="21"/>
              </w:rPr>
            </w:pPr>
            <w:r>
              <w:rPr>
                <w:rFonts w:hint="eastAsia" w:ascii="宋体" w:hAnsi="宋体" w:cs="宋体"/>
                <w:szCs w:val="21"/>
              </w:rPr>
              <w:t>89.79</w:t>
            </w:r>
          </w:p>
        </w:tc>
        <w:tc>
          <w:tcPr>
            <w:tcW w:w="1266" w:type="dxa"/>
            <w:shd w:val="clear" w:color="auto" w:fill="FFFFFF"/>
            <w:vAlign w:val="center"/>
          </w:tcPr>
          <w:p>
            <w:pPr>
              <w:adjustRightInd w:val="0"/>
              <w:snapToGrid w:val="0"/>
              <w:spacing w:line="0" w:lineRule="atLeast"/>
              <w:jc w:val="center"/>
              <w:rPr>
                <w:rFonts w:ascii="宋体" w:hAnsi="宋体" w:cs="宋体"/>
                <w:szCs w:val="21"/>
              </w:rPr>
            </w:pPr>
            <w:r>
              <w:rPr>
                <w:rFonts w:hint="eastAsia" w:ascii="宋体" w:hAnsi="宋体" w:cs="宋体"/>
                <w:szCs w:val="21"/>
              </w:rPr>
              <w:t>85.89</w:t>
            </w:r>
          </w:p>
        </w:tc>
        <w:tc>
          <w:tcPr>
            <w:tcW w:w="869" w:type="dxa"/>
            <w:shd w:val="clear" w:color="auto" w:fill="FFFFFF"/>
            <w:noWrap/>
            <w:vAlign w:val="center"/>
          </w:tcPr>
          <w:p>
            <w:pPr>
              <w:adjustRightInd w:val="0"/>
              <w:snapToGrid w:val="0"/>
              <w:spacing w:line="0" w:lineRule="atLeast"/>
              <w:jc w:val="center"/>
              <w:rPr>
                <w:rFonts w:ascii="宋体" w:hAnsi="宋体" w:cs="宋体"/>
                <w:szCs w:val="21"/>
              </w:rPr>
            </w:pPr>
            <w:r>
              <w:rPr>
                <w:rFonts w:hint="eastAsia" w:ascii="宋体" w:hAnsi="宋体" w:cs="宋体"/>
                <w:szCs w:val="21"/>
              </w:rPr>
              <w:t>84.57</w:t>
            </w:r>
          </w:p>
        </w:tc>
        <w:tc>
          <w:tcPr>
            <w:tcW w:w="764" w:type="dxa"/>
            <w:shd w:val="clear" w:color="auto" w:fill="FFFFFF"/>
            <w:noWrap/>
            <w:vAlign w:val="center"/>
          </w:tcPr>
          <w:p>
            <w:pPr>
              <w:adjustRightInd w:val="0"/>
              <w:snapToGrid w:val="0"/>
              <w:spacing w:line="0" w:lineRule="atLeast"/>
              <w:jc w:val="center"/>
              <w:rPr>
                <w:rFonts w:ascii="宋体" w:hAnsi="宋体" w:cs="宋体"/>
                <w:szCs w:val="21"/>
              </w:rPr>
            </w:pPr>
            <w:r>
              <w:rPr>
                <w:rFonts w:hint="eastAsia" w:ascii="宋体" w:hAnsi="宋体" w:cs="宋体"/>
                <w:szCs w:val="21"/>
              </w:rPr>
              <w:t>84.73</w:t>
            </w:r>
          </w:p>
        </w:tc>
        <w:tc>
          <w:tcPr>
            <w:tcW w:w="1109" w:type="dxa"/>
            <w:shd w:val="clear" w:color="auto" w:fill="FFFFFF"/>
            <w:noWrap/>
            <w:vAlign w:val="center"/>
          </w:tcPr>
          <w:p>
            <w:pPr>
              <w:adjustRightInd w:val="0"/>
              <w:snapToGrid w:val="0"/>
              <w:spacing w:line="0" w:lineRule="atLeast"/>
              <w:jc w:val="center"/>
              <w:rPr>
                <w:rFonts w:ascii="宋体" w:hAnsi="宋体" w:cs="宋体"/>
                <w:szCs w:val="21"/>
              </w:rPr>
            </w:pPr>
            <w:r>
              <w:rPr>
                <w:rFonts w:hint="eastAsia" w:ascii="宋体" w:hAnsi="宋体" w:cs="宋体"/>
                <w:szCs w:val="21"/>
              </w:rPr>
              <w:t>83.93</w:t>
            </w:r>
          </w:p>
        </w:tc>
        <w:tc>
          <w:tcPr>
            <w:tcW w:w="929" w:type="dxa"/>
            <w:shd w:val="clear" w:color="auto" w:fill="FFFFFF"/>
            <w:noWrap/>
            <w:vAlign w:val="center"/>
          </w:tcPr>
          <w:p>
            <w:pPr>
              <w:adjustRightInd w:val="0"/>
              <w:snapToGrid w:val="0"/>
              <w:spacing w:line="0" w:lineRule="atLeast"/>
              <w:jc w:val="center"/>
              <w:rPr>
                <w:rFonts w:ascii="宋体" w:hAnsi="宋体" w:cs="宋体"/>
                <w:szCs w:val="21"/>
              </w:rPr>
            </w:pPr>
            <w:r>
              <w:rPr>
                <w:rFonts w:hint="eastAsia" w:ascii="宋体" w:hAnsi="宋体" w:cs="宋体"/>
                <w:szCs w:val="21"/>
              </w:rPr>
              <w:t>83.88</w:t>
            </w:r>
          </w:p>
        </w:tc>
        <w:tc>
          <w:tcPr>
            <w:tcW w:w="850" w:type="dxa"/>
            <w:shd w:val="clear" w:color="auto" w:fill="FFFFFF"/>
            <w:noWrap/>
            <w:vAlign w:val="center"/>
          </w:tcPr>
          <w:p>
            <w:pPr>
              <w:adjustRightInd w:val="0"/>
              <w:snapToGrid w:val="0"/>
              <w:spacing w:line="0" w:lineRule="atLeast"/>
              <w:jc w:val="center"/>
              <w:rPr>
                <w:rFonts w:ascii="宋体" w:hAnsi="宋体" w:cs="宋体"/>
                <w:szCs w:val="21"/>
              </w:rPr>
            </w:pPr>
            <w:r>
              <w:rPr>
                <w:rFonts w:hint="eastAsia" w:ascii="宋体" w:hAnsi="宋体" w:cs="宋体"/>
                <w:szCs w:val="21"/>
              </w:rPr>
              <w:t>84.30</w:t>
            </w:r>
          </w:p>
        </w:tc>
        <w:tc>
          <w:tcPr>
            <w:tcW w:w="820" w:type="dxa"/>
            <w:shd w:val="clear" w:color="auto" w:fill="FFFFFF"/>
            <w:noWrap/>
            <w:vAlign w:val="center"/>
          </w:tcPr>
          <w:p>
            <w:pPr>
              <w:adjustRightInd w:val="0"/>
              <w:snapToGrid w:val="0"/>
              <w:spacing w:line="0" w:lineRule="atLeast"/>
              <w:jc w:val="center"/>
              <w:rPr>
                <w:rFonts w:ascii="宋体" w:hAnsi="宋体" w:cs="宋体"/>
                <w:szCs w:val="21"/>
              </w:rPr>
            </w:pPr>
            <w:r>
              <w:rPr>
                <w:rFonts w:hint="eastAsia" w:ascii="宋体" w:hAnsi="宋体" w:cs="宋体"/>
                <w:szCs w:val="21"/>
              </w:rPr>
              <w:t>87.89</w:t>
            </w:r>
          </w:p>
        </w:tc>
        <w:tc>
          <w:tcPr>
            <w:tcW w:w="778" w:type="dxa"/>
            <w:shd w:val="clear" w:color="auto" w:fill="FFFFFF"/>
            <w:noWrap/>
            <w:vAlign w:val="center"/>
          </w:tcPr>
          <w:p>
            <w:pPr>
              <w:adjustRightInd w:val="0"/>
              <w:snapToGrid w:val="0"/>
              <w:spacing w:line="0" w:lineRule="atLeast"/>
              <w:jc w:val="center"/>
              <w:rPr>
                <w:rFonts w:ascii="宋体" w:hAnsi="宋体" w:cs="宋体"/>
                <w:szCs w:val="21"/>
              </w:rPr>
            </w:pPr>
            <w:r>
              <w:rPr>
                <w:rFonts w:hint="eastAsia" w:ascii="宋体" w:hAnsi="宋体" w:cs="宋体"/>
                <w:szCs w:val="21"/>
              </w:rPr>
              <w:t>87.16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1" w:type="dxa"/>
            <w:bottom w:w="0" w:type="dxa"/>
            <w:right w:w="51" w:type="dxa"/>
          </w:tblCellMar>
        </w:tblPrEx>
        <w:trPr>
          <w:trHeight w:val="454" w:hRule="atLeast"/>
          <w:jc w:val="center"/>
        </w:trPr>
        <w:tc>
          <w:tcPr>
            <w:tcW w:w="990" w:type="dxa"/>
            <w:shd w:val="clear" w:color="auto" w:fill="FFFFFF"/>
            <w:noWrap/>
            <w:vAlign w:val="center"/>
          </w:tcPr>
          <w:p>
            <w:pPr>
              <w:adjustRightInd w:val="0"/>
              <w:snapToGrid w:val="0"/>
              <w:spacing w:line="0" w:lineRule="atLeast"/>
              <w:jc w:val="center"/>
              <w:rPr>
                <w:rFonts w:ascii="宋体" w:hAnsi="宋体" w:cs="宋体"/>
                <w:szCs w:val="21"/>
              </w:rPr>
            </w:pPr>
            <w:r>
              <w:rPr>
                <w:rFonts w:hint="eastAsia" w:ascii="宋体" w:hAnsi="宋体" w:cs="宋体"/>
                <w:szCs w:val="21"/>
              </w:rPr>
              <w:t>2018届</w:t>
            </w:r>
          </w:p>
        </w:tc>
        <w:tc>
          <w:tcPr>
            <w:tcW w:w="856" w:type="dxa"/>
            <w:shd w:val="clear" w:color="auto" w:fill="FFFFFF"/>
            <w:noWrap/>
            <w:vAlign w:val="center"/>
          </w:tcPr>
          <w:p>
            <w:pPr>
              <w:adjustRightInd w:val="0"/>
              <w:snapToGrid w:val="0"/>
              <w:spacing w:line="0" w:lineRule="atLeast"/>
              <w:jc w:val="center"/>
              <w:rPr>
                <w:rFonts w:ascii="宋体" w:hAnsi="宋体" w:cs="宋体"/>
                <w:szCs w:val="21"/>
              </w:rPr>
            </w:pPr>
            <w:r>
              <w:rPr>
                <w:rFonts w:hint="eastAsia" w:ascii="宋体" w:hAnsi="宋体" w:cs="宋体"/>
                <w:szCs w:val="21"/>
              </w:rPr>
              <w:t>82.83</w:t>
            </w:r>
          </w:p>
        </w:tc>
        <w:tc>
          <w:tcPr>
            <w:tcW w:w="1266" w:type="dxa"/>
            <w:shd w:val="clear" w:color="auto" w:fill="FFFFFF"/>
            <w:vAlign w:val="center"/>
          </w:tcPr>
          <w:p>
            <w:pPr>
              <w:adjustRightInd w:val="0"/>
              <w:snapToGrid w:val="0"/>
              <w:spacing w:line="0" w:lineRule="atLeast"/>
              <w:jc w:val="center"/>
              <w:rPr>
                <w:rFonts w:ascii="宋体" w:hAnsi="宋体" w:cs="宋体"/>
                <w:szCs w:val="21"/>
              </w:rPr>
            </w:pPr>
            <w:r>
              <w:rPr>
                <w:rFonts w:hint="eastAsia" w:ascii="宋体" w:hAnsi="宋体" w:cs="宋体"/>
                <w:szCs w:val="21"/>
              </w:rPr>
              <w:t>78.10</w:t>
            </w:r>
          </w:p>
        </w:tc>
        <w:tc>
          <w:tcPr>
            <w:tcW w:w="869" w:type="dxa"/>
            <w:shd w:val="clear" w:color="auto" w:fill="FFFFFF"/>
            <w:noWrap/>
            <w:vAlign w:val="center"/>
          </w:tcPr>
          <w:p>
            <w:pPr>
              <w:adjustRightInd w:val="0"/>
              <w:snapToGrid w:val="0"/>
              <w:spacing w:line="0" w:lineRule="atLeast"/>
              <w:jc w:val="center"/>
              <w:rPr>
                <w:rFonts w:ascii="宋体" w:hAnsi="宋体" w:cs="宋体"/>
                <w:szCs w:val="21"/>
              </w:rPr>
            </w:pPr>
            <w:r>
              <w:rPr>
                <w:rFonts w:hint="eastAsia" w:ascii="宋体" w:hAnsi="宋体" w:cs="宋体"/>
                <w:szCs w:val="21"/>
              </w:rPr>
              <w:t>76.77</w:t>
            </w:r>
          </w:p>
        </w:tc>
        <w:tc>
          <w:tcPr>
            <w:tcW w:w="764" w:type="dxa"/>
            <w:shd w:val="clear" w:color="auto" w:fill="FFFFFF"/>
            <w:noWrap/>
            <w:vAlign w:val="center"/>
          </w:tcPr>
          <w:p>
            <w:pPr>
              <w:adjustRightInd w:val="0"/>
              <w:snapToGrid w:val="0"/>
              <w:spacing w:line="0" w:lineRule="atLeast"/>
              <w:jc w:val="center"/>
              <w:rPr>
                <w:rFonts w:ascii="宋体" w:hAnsi="宋体" w:cs="宋体"/>
                <w:szCs w:val="21"/>
              </w:rPr>
            </w:pPr>
            <w:r>
              <w:rPr>
                <w:rFonts w:hint="eastAsia" w:ascii="宋体" w:hAnsi="宋体" w:cs="宋体"/>
                <w:szCs w:val="21"/>
              </w:rPr>
              <w:t>76.70</w:t>
            </w:r>
          </w:p>
        </w:tc>
        <w:tc>
          <w:tcPr>
            <w:tcW w:w="1109" w:type="dxa"/>
            <w:shd w:val="clear" w:color="auto" w:fill="FFFFFF"/>
            <w:noWrap/>
            <w:vAlign w:val="center"/>
          </w:tcPr>
          <w:p>
            <w:pPr>
              <w:adjustRightInd w:val="0"/>
              <w:snapToGrid w:val="0"/>
              <w:spacing w:line="0" w:lineRule="atLeast"/>
              <w:jc w:val="center"/>
              <w:rPr>
                <w:rFonts w:ascii="宋体" w:hAnsi="宋体" w:cs="宋体"/>
                <w:szCs w:val="21"/>
              </w:rPr>
            </w:pPr>
            <w:r>
              <w:rPr>
                <w:rFonts w:hint="eastAsia" w:ascii="宋体" w:hAnsi="宋体" w:cs="宋体"/>
                <w:szCs w:val="21"/>
              </w:rPr>
              <w:t>76.01</w:t>
            </w:r>
          </w:p>
        </w:tc>
        <w:tc>
          <w:tcPr>
            <w:tcW w:w="929" w:type="dxa"/>
            <w:shd w:val="clear" w:color="auto" w:fill="FFFFFF"/>
            <w:noWrap/>
            <w:vAlign w:val="center"/>
          </w:tcPr>
          <w:p>
            <w:pPr>
              <w:adjustRightInd w:val="0"/>
              <w:snapToGrid w:val="0"/>
              <w:spacing w:line="0" w:lineRule="atLeast"/>
              <w:jc w:val="center"/>
              <w:rPr>
                <w:rFonts w:ascii="宋体" w:hAnsi="宋体" w:cs="宋体"/>
                <w:szCs w:val="21"/>
              </w:rPr>
            </w:pPr>
            <w:r>
              <w:rPr>
                <w:rFonts w:hint="eastAsia" w:ascii="宋体" w:hAnsi="宋体" w:cs="宋体"/>
                <w:szCs w:val="21"/>
              </w:rPr>
              <w:t>75.74</w:t>
            </w:r>
          </w:p>
        </w:tc>
        <w:tc>
          <w:tcPr>
            <w:tcW w:w="850" w:type="dxa"/>
            <w:shd w:val="clear" w:color="auto" w:fill="FFFFFF"/>
            <w:noWrap/>
            <w:vAlign w:val="center"/>
          </w:tcPr>
          <w:p>
            <w:pPr>
              <w:adjustRightInd w:val="0"/>
              <w:snapToGrid w:val="0"/>
              <w:spacing w:line="0" w:lineRule="atLeast"/>
              <w:jc w:val="center"/>
              <w:rPr>
                <w:rFonts w:ascii="宋体" w:hAnsi="宋体" w:cs="宋体"/>
                <w:szCs w:val="21"/>
              </w:rPr>
            </w:pPr>
            <w:r>
              <w:rPr>
                <w:rFonts w:hint="eastAsia" w:ascii="宋体" w:hAnsi="宋体" w:cs="宋体"/>
                <w:szCs w:val="21"/>
              </w:rPr>
              <w:t>76.18</w:t>
            </w:r>
          </w:p>
        </w:tc>
        <w:tc>
          <w:tcPr>
            <w:tcW w:w="820" w:type="dxa"/>
            <w:shd w:val="clear" w:color="auto" w:fill="FFFFFF"/>
            <w:noWrap/>
            <w:vAlign w:val="center"/>
          </w:tcPr>
          <w:p>
            <w:pPr>
              <w:adjustRightInd w:val="0"/>
              <w:snapToGrid w:val="0"/>
              <w:spacing w:line="0" w:lineRule="atLeast"/>
              <w:jc w:val="center"/>
              <w:rPr>
                <w:rFonts w:ascii="宋体" w:hAnsi="宋体" w:cs="宋体"/>
                <w:szCs w:val="21"/>
              </w:rPr>
            </w:pPr>
            <w:r>
              <w:rPr>
                <w:rFonts w:hint="eastAsia" w:ascii="宋体" w:hAnsi="宋体" w:cs="宋体"/>
                <w:szCs w:val="21"/>
              </w:rPr>
              <w:t>81.01</w:t>
            </w:r>
          </w:p>
        </w:tc>
        <w:tc>
          <w:tcPr>
            <w:tcW w:w="778" w:type="dxa"/>
            <w:shd w:val="clear" w:color="auto" w:fill="FFFFFF"/>
            <w:noWrap/>
            <w:vAlign w:val="center"/>
          </w:tcPr>
          <w:p>
            <w:pPr>
              <w:adjustRightInd w:val="0"/>
              <w:snapToGrid w:val="0"/>
              <w:spacing w:line="0" w:lineRule="atLeast"/>
              <w:jc w:val="center"/>
              <w:rPr>
                <w:rFonts w:ascii="宋体" w:hAnsi="宋体" w:cs="宋体"/>
                <w:szCs w:val="21"/>
              </w:rPr>
            </w:pPr>
            <w:r>
              <w:rPr>
                <w:rFonts w:hint="eastAsia" w:ascii="宋体" w:hAnsi="宋体" w:cs="宋体"/>
                <w:szCs w:val="21"/>
              </w:rPr>
              <w:t>79.81</w:t>
            </w:r>
          </w:p>
        </w:tc>
      </w:tr>
    </w:tbl>
    <w:p>
      <w:pPr>
        <w:spacing w:line="400" w:lineRule="exact"/>
        <w:rPr>
          <w:rFonts w:ascii="宋体" w:hAnsi="宋体" w:cs="宋体"/>
          <w:b/>
          <w:szCs w:val="21"/>
        </w:rPr>
      </w:pPr>
    </w:p>
    <w:p>
      <w:pPr>
        <w:jc w:val="center"/>
        <w:rPr>
          <w:rFonts w:ascii="宋体" w:hAnsi="宋体" w:cs="宋体"/>
          <w:b/>
          <w:szCs w:val="21"/>
        </w:rPr>
      </w:pPr>
      <w:r>
        <w:rPr>
          <w:rFonts w:hint="eastAsia" w:ascii="宋体" w:hAnsi="宋体" w:cs="宋体"/>
          <w:b/>
          <w:szCs w:val="21"/>
        </w:rPr>
        <w:t>表8  2017届毕业生（三年后）与2016届毕业生满意度比较</w:t>
      </w:r>
    </w:p>
    <w:tbl>
      <w:tblPr>
        <w:tblStyle w:val="9"/>
        <w:tblW w:w="924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blLayout w:type="fixed"/>
        <w:tblCellMar>
          <w:top w:w="0" w:type="dxa"/>
          <w:left w:w="51" w:type="dxa"/>
          <w:bottom w:w="0" w:type="dxa"/>
          <w:right w:w="51" w:type="dxa"/>
        </w:tblCellMar>
      </w:tblPr>
      <w:tblGrid>
        <w:gridCol w:w="975"/>
        <w:gridCol w:w="879"/>
        <w:gridCol w:w="1276"/>
        <w:gridCol w:w="870"/>
        <w:gridCol w:w="765"/>
        <w:gridCol w:w="1110"/>
        <w:gridCol w:w="915"/>
        <w:gridCol w:w="840"/>
        <w:gridCol w:w="855"/>
        <w:gridCol w:w="75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blCellMar>
            <w:top w:w="0" w:type="dxa"/>
            <w:left w:w="51" w:type="dxa"/>
            <w:bottom w:w="0" w:type="dxa"/>
            <w:right w:w="51" w:type="dxa"/>
          </w:tblCellMar>
        </w:tblPrEx>
        <w:trPr>
          <w:trHeight w:val="544" w:hRule="atLeast"/>
          <w:jc w:val="center"/>
        </w:trPr>
        <w:tc>
          <w:tcPr>
            <w:tcW w:w="977" w:type="dxa"/>
            <w:tcBorders>
              <w:tl2br w:val="nil"/>
              <w:tr2bl w:val="nil"/>
            </w:tcBorders>
            <w:shd w:val="clear" w:color="auto" w:fill="FFFFFF"/>
            <w:vAlign w:val="center"/>
          </w:tcPr>
          <w:p>
            <w:pPr>
              <w:adjustRightInd w:val="0"/>
              <w:snapToGrid w:val="0"/>
              <w:spacing w:line="0" w:lineRule="atLeast"/>
              <w:jc w:val="center"/>
              <w:rPr>
                <w:rFonts w:ascii="黑体" w:hAnsi="黑体" w:eastAsia="黑体" w:cs="黑体"/>
                <w:szCs w:val="21"/>
              </w:rPr>
            </w:pPr>
            <w:r>
              <w:rPr>
                <w:rFonts w:hint="eastAsia" w:ascii="黑体" w:hAnsi="黑体" w:eastAsia="黑体" w:cs="黑体"/>
                <w:szCs w:val="21"/>
              </w:rPr>
              <w:t>类别</w:t>
            </w:r>
          </w:p>
        </w:tc>
        <w:tc>
          <w:tcPr>
            <w:tcW w:w="881" w:type="dxa"/>
            <w:tcBorders>
              <w:tl2br w:val="nil"/>
              <w:tr2bl w:val="nil"/>
            </w:tcBorders>
            <w:shd w:val="clear" w:color="auto" w:fill="FFFFFF"/>
            <w:vAlign w:val="center"/>
          </w:tcPr>
          <w:p>
            <w:pPr>
              <w:adjustRightInd w:val="0"/>
              <w:snapToGrid w:val="0"/>
              <w:spacing w:line="0" w:lineRule="atLeast"/>
              <w:jc w:val="center"/>
              <w:rPr>
                <w:rFonts w:ascii="黑体" w:hAnsi="黑体" w:eastAsia="黑体" w:cs="黑体"/>
                <w:szCs w:val="21"/>
              </w:rPr>
            </w:pPr>
            <w:r>
              <w:rPr>
                <w:rFonts w:hint="eastAsia" w:ascii="黑体" w:hAnsi="黑体" w:eastAsia="黑体" w:cs="黑体"/>
                <w:szCs w:val="21"/>
              </w:rPr>
              <w:t>总体满意度</w:t>
            </w:r>
          </w:p>
        </w:tc>
        <w:tc>
          <w:tcPr>
            <w:tcW w:w="1278" w:type="dxa"/>
            <w:tcBorders>
              <w:tl2br w:val="nil"/>
              <w:tr2bl w:val="nil"/>
            </w:tcBorders>
            <w:shd w:val="clear" w:color="auto" w:fill="FFFFFF"/>
            <w:vAlign w:val="center"/>
          </w:tcPr>
          <w:p>
            <w:pPr>
              <w:adjustRightInd w:val="0"/>
              <w:snapToGrid w:val="0"/>
              <w:spacing w:line="0" w:lineRule="atLeast"/>
              <w:jc w:val="center"/>
              <w:rPr>
                <w:rFonts w:ascii="黑体" w:hAnsi="黑体" w:eastAsia="黑体" w:cs="黑体"/>
                <w:szCs w:val="21"/>
              </w:rPr>
            </w:pPr>
            <w:r>
              <w:rPr>
                <w:rFonts w:hint="eastAsia" w:ascii="黑体" w:hAnsi="黑体" w:eastAsia="黑体" w:cs="黑体"/>
                <w:szCs w:val="21"/>
              </w:rPr>
              <w:t>专业课程课堂教学效果</w:t>
            </w:r>
          </w:p>
        </w:tc>
        <w:tc>
          <w:tcPr>
            <w:tcW w:w="871" w:type="dxa"/>
            <w:tcBorders>
              <w:tl2br w:val="nil"/>
              <w:tr2bl w:val="nil"/>
            </w:tcBorders>
            <w:shd w:val="clear" w:color="auto" w:fill="FFFFFF"/>
            <w:vAlign w:val="center"/>
          </w:tcPr>
          <w:p>
            <w:pPr>
              <w:adjustRightInd w:val="0"/>
              <w:snapToGrid w:val="0"/>
              <w:spacing w:line="0" w:lineRule="atLeast"/>
              <w:jc w:val="center"/>
              <w:rPr>
                <w:rFonts w:ascii="黑体" w:hAnsi="黑体" w:eastAsia="黑体" w:cs="黑体"/>
                <w:szCs w:val="21"/>
              </w:rPr>
            </w:pPr>
            <w:r>
              <w:rPr>
                <w:rFonts w:hint="eastAsia" w:ascii="黑体" w:hAnsi="黑体" w:eastAsia="黑体" w:cs="黑体"/>
                <w:szCs w:val="21"/>
              </w:rPr>
              <w:t>实践教学效果</w:t>
            </w:r>
          </w:p>
        </w:tc>
        <w:tc>
          <w:tcPr>
            <w:tcW w:w="766" w:type="dxa"/>
            <w:tcBorders>
              <w:tl2br w:val="nil"/>
              <w:tr2bl w:val="nil"/>
            </w:tcBorders>
            <w:shd w:val="clear" w:color="auto" w:fill="FFFFFF"/>
            <w:vAlign w:val="center"/>
          </w:tcPr>
          <w:p>
            <w:pPr>
              <w:adjustRightInd w:val="0"/>
              <w:snapToGrid w:val="0"/>
              <w:spacing w:line="0" w:lineRule="atLeast"/>
              <w:jc w:val="center"/>
              <w:rPr>
                <w:rFonts w:ascii="黑体" w:hAnsi="黑体" w:eastAsia="黑体" w:cs="黑体"/>
                <w:szCs w:val="21"/>
              </w:rPr>
            </w:pPr>
            <w:r>
              <w:rPr>
                <w:rFonts w:hint="eastAsia" w:ascii="黑体" w:hAnsi="黑体" w:eastAsia="黑体" w:cs="黑体"/>
                <w:szCs w:val="21"/>
              </w:rPr>
              <w:t>教学</w:t>
            </w:r>
          </w:p>
          <w:p>
            <w:pPr>
              <w:adjustRightInd w:val="0"/>
              <w:snapToGrid w:val="0"/>
              <w:spacing w:line="0" w:lineRule="atLeast"/>
              <w:jc w:val="center"/>
              <w:rPr>
                <w:rFonts w:ascii="黑体" w:hAnsi="黑体" w:eastAsia="黑体" w:cs="黑体"/>
                <w:szCs w:val="21"/>
              </w:rPr>
            </w:pPr>
            <w:r>
              <w:rPr>
                <w:rFonts w:hint="eastAsia" w:ascii="黑体" w:hAnsi="黑体" w:eastAsia="黑体" w:cs="黑体"/>
                <w:szCs w:val="21"/>
              </w:rPr>
              <w:t>水平</w:t>
            </w:r>
          </w:p>
        </w:tc>
        <w:tc>
          <w:tcPr>
            <w:tcW w:w="1112" w:type="dxa"/>
            <w:tcBorders>
              <w:tl2br w:val="nil"/>
              <w:tr2bl w:val="nil"/>
            </w:tcBorders>
            <w:shd w:val="clear" w:color="auto" w:fill="FFFFFF"/>
            <w:vAlign w:val="center"/>
          </w:tcPr>
          <w:p>
            <w:pPr>
              <w:adjustRightInd w:val="0"/>
              <w:snapToGrid w:val="0"/>
              <w:spacing w:line="0" w:lineRule="atLeast"/>
              <w:jc w:val="center"/>
              <w:rPr>
                <w:rFonts w:ascii="黑体" w:hAnsi="黑体" w:eastAsia="黑体" w:cs="黑体"/>
                <w:szCs w:val="21"/>
              </w:rPr>
            </w:pPr>
            <w:r>
              <w:rPr>
                <w:rFonts w:hint="eastAsia" w:ascii="黑体" w:hAnsi="黑体" w:eastAsia="黑体" w:cs="黑体"/>
                <w:szCs w:val="21"/>
              </w:rPr>
              <w:t>发展机会和锻炼平台</w:t>
            </w:r>
          </w:p>
        </w:tc>
        <w:tc>
          <w:tcPr>
            <w:tcW w:w="916" w:type="dxa"/>
            <w:tcBorders>
              <w:tl2br w:val="nil"/>
              <w:tr2bl w:val="nil"/>
            </w:tcBorders>
            <w:shd w:val="clear" w:color="auto" w:fill="FFFFFF"/>
            <w:vAlign w:val="center"/>
          </w:tcPr>
          <w:p>
            <w:pPr>
              <w:adjustRightInd w:val="0"/>
              <w:snapToGrid w:val="0"/>
              <w:spacing w:line="0" w:lineRule="atLeast"/>
              <w:jc w:val="center"/>
              <w:rPr>
                <w:rFonts w:ascii="黑体" w:hAnsi="黑体" w:eastAsia="黑体" w:cs="黑体"/>
                <w:szCs w:val="21"/>
              </w:rPr>
            </w:pPr>
            <w:r>
              <w:rPr>
                <w:rFonts w:hint="eastAsia" w:ascii="黑体" w:hAnsi="黑体" w:eastAsia="黑体" w:cs="黑体"/>
                <w:szCs w:val="21"/>
              </w:rPr>
              <w:t>创新创业教育及导</w:t>
            </w:r>
          </w:p>
        </w:tc>
        <w:tc>
          <w:tcPr>
            <w:tcW w:w="841" w:type="dxa"/>
            <w:tcBorders>
              <w:tl2br w:val="nil"/>
              <w:tr2bl w:val="nil"/>
            </w:tcBorders>
            <w:shd w:val="clear" w:color="auto" w:fill="FFFFFF"/>
            <w:vAlign w:val="center"/>
          </w:tcPr>
          <w:p>
            <w:pPr>
              <w:adjustRightInd w:val="0"/>
              <w:snapToGrid w:val="0"/>
              <w:spacing w:line="0" w:lineRule="atLeast"/>
              <w:jc w:val="center"/>
              <w:rPr>
                <w:rFonts w:ascii="黑体" w:hAnsi="黑体" w:eastAsia="黑体" w:cs="黑体"/>
                <w:szCs w:val="21"/>
              </w:rPr>
            </w:pPr>
            <w:r>
              <w:rPr>
                <w:rFonts w:hint="eastAsia" w:ascii="黑体" w:hAnsi="黑体" w:eastAsia="黑体" w:cs="黑体"/>
                <w:szCs w:val="21"/>
              </w:rPr>
              <w:t>就业求职服务</w:t>
            </w:r>
          </w:p>
        </w:tc>
        <w:tc>
          <w:tcPr>
            <w:tcW w:w="856" w:type="dxa"/>
            <w:tcBorders>
              <w:tl2br w:val="nil"/>
              <w:tr2bl w:val="nil"/>
            </w:tcBorders>
            <w:shd w:val="clear" w:color="auto" w:fill="FFFFFF"/>
            <w:vAlign w:val="center"/>
          </w:tcPr>
          <w:p>
            <w:pPr>
              <w:adjustRightInd w:val="0"/>
              <w:snapToGrid w:val="0"/>
              <w:spacing w:line="0" w:lineRule="atLeast"/>
              <w:jc w:val="center"/>
              <w:rPr>
                <w:rFonts w:ascii="黑体" w:hAnsi="黑体" w:eastAsia="黑体" w:cs="黑体"/>
                <w:szCs w:val="21"/>
              </w:rPr>
            </w:pPr>
            <w:r>
              <w:rPr>
                <w:rFonts w:hint="eastAsia" w:ascii="黑体" w:hAnsi="黑体" w:eastAsia="黑体" w:cs="黑体"/>
                <w:szCs w:val="21"/>
              </w:rPr>
              <w:t>师德</w:t>
            </w:r>
          </w:p>
          <w:p>
            <w:pPr>
              <w:adjustRightInd w:val="0"/>
              <w:snapToGrid w:val="0"/>
              <w:spacing w:line="0" w:lineRule="atLeast"/>
              <w:jc w:val="center"/>
              <w:rPr>
                <w:rFonts w:ascii="黑体" w:hAnsi="黑体" w:eastAsia="黑体" w:cs="黑体"/>
                <w:szCs w:val="21"/>
              </w:rPr>
            </w:pPr>
            <w:r>
              <w:rPr>
                <w:rFonts w:hint="eastAsia" w:ascii="黑体" w:hAnsi="黑体" w:eastAsia="黑体" w:cs="黑体"/>
                <w:szCs w:val="21"/>
              </w:rPr>
              <w:t>师风</w:t>
            </w:r>
          </w:p>
        </w:tc>
        <w:tc>
          <w:tcPr>
            <w:tcW w:w="757" w:type="dxa"/>
            <w:tcBorders>
              <w:tl2br w:val="nil"/>
              <w:tr2bl w:val="nil"/>
            </w:tcBorders>
            <w:shd w:val="clear" w:color="auto" w:fill="FFFFFF"/>
            <w:vAlign w:val="center"/>
          </w:tcPr>
          <w:p>
            <w:pPr>
              <w:adjustRightInd w:val="0"/>
              <w:snapToGrid w:val="0"/>
              <w:spacing w:line="0" w:lineRule="atLeast"/>
              <w:jc w:val="center"/>
              <w:rPr>
                <w:rFonts w:ascii="黑体" w:hAnsi="黑体" w:eastAsia="黑体" w:cs="黑体"/>
                <w:szCs w:val="21"/>
              </w:rPr>
            </w:pPr>
            <w:r>
              <w:rPr>
                <w:rFonts w:hint="eastAsia" w:ascii="黑体" w:hAnsi="黑体" w:eastAsia="黑体" w:cs="黑体"/>
                <w:szCs w:val="21"/>
              </w:rPr>
              <w:t>校风</w:t>
            </w:r>
          </w:p>
          <w:p>
            <w:pPr>
              <w:adjustRightInd w:val="0"/>
              <w:snapToGrid w:val="0"/>
              <w:spacing w:line="0" w:lineRule="atLeast"/>
              <w:jc w:val="center"/>
              <w:rPr>
                <w:rFonts w:ascii="黑体" w:hAnsi="黑体" w:eastAsia="黑体" w:cs="黑体"/>
                <w:szCs w:val="21"/>
              </w:rPr>
            </w:pPr>
            <w:r>
              <w:rPr>
                <w:rFonts w:hint="eastAsia" w:ascii="黑体" w:hAnsi="黑体" w:eastAsia="黑体" w:cs="黑体"/>
                <w:szCs w:val="21"/>
              </w:rPr>
              <w:t>学风</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blCellMar>
            <w:top w:w="0" w:type="dxa"/>
            <w:left w:w="51" w:type="dxa"/>
            <w:bottom w:w="0" w:type="dxa"/>
            <w:right w:w="51" w:type="dxa"/>
          </w:tblCellMar>
        </w:tblPrEx>
        <w:trPr>
          <w:trHeight w:val="476" w:hRule="atLeast"/>
          <w:jc w:val="center"/>
        </w:trPr>
        <w:tc>
          <w:tcPr>
            <w:tcW w:w="977" w:type="dxa"/>
            <w:tcBorders>
              <w:tl2br w:val="nil"/>
              <w:tr2bl w:val="nil"/>
            </w:tcBorders>
            <w:shd w:val="clear" w:color="auto" w:fill="FFFFFF"/>
            <w:noWrap/>
            <w:vAlign w:val="center"/>
          </w:tcPr>
          <w:p>
            <w:pPr>
              <w:adjustRightInd w:val="0"/>
              <w:snapToGrid w:val="0"/>
              <w:spacing w:line="0" w:lineRule="atLeast"/>
              <w:jc w:val="center"/>
              <w:rPr>
                <w:rFonts w:ascii="宋体" w:hAnsi="宋体" w:cs="宋体"/>
                <w:szCs w:val="21"/>
              </w:rPr>
            </w:pPr>
            <w:r>
              <w:rPr>
                <w:rFonts w:hint="eastAsia" w:ascii="宋体" w:hAnsi="宋体" w:cs="宋体"/>
                <w:szCs w:val="21"/>
              </w:rPr>
              <w:t>2017届</w:t>
            </w:r>
          </w:p>
        </w:tc>
        <w:tc>
          <w:tcPr>
            <w:tcW w:w="881" w:type="dxa"/>
            <w:tcBorders>
              <w:tl2br w:val="nil"/>
              <w:tr2bl w:val="nil"/>
            </w:tcBorders>
            <w:shd w:val="clear" w:color="auto" w:fill="FFFFFF"/>
            <w:noWrap/>
            <w:vAlign w:val="center"/>
          </w:tcPr>
          <w:p>
            <w:pPr>
              <w:adjustRightInd w:val="0"/>
              <w:snapToGrid w:val="0"/>
              <w:spacing w:line="0" w:lineRule="atLeast"/>
              <w:jc w:val="center"/>
              <w:rPr>
                <w:rFonts w:ascii="宋体" w:hAnsi="宋体" w:cs="宋体"/>
                <w:szCs w:val="21"/>
              </w:rPr>
            </w:pPr>
            <w:r>
              <w:rPr>
                <w:rFonts w:hint="eastAsia" w:ascii="宋体" w:hAnsi="宋体" w:cs="宋体"/>
                <w:szCs w:val="21"/>
              </w:rPr>
              <w:t>90.10</w:t>
            </w:r>
          </w:p>
        </w:tc>
        <w:tc>
          <w:tcPr>
            <w:tcW w:w="1278" w:type="dxa"/>
            <w:tcBorders>
              <w:tl2br w:val="nil"/>
              <w:tr2bl w:val="nil"/>
            </w:tcBorders>
            <w:shd w:val="clear" w:color="auto" w:fill="FFFFFF"/>
            <w:vAlign w:val="center"/>
          </w:tcPr>
          <w:p>
            <w:pPr>
              <w:adjustRightInd w:val="0"/>
              <w:snapToGrid w:val="0"/>
              <w:spacing w:line="0" w:lineRule="atLeast"/>
              <w:jc w:val="center"/>
              <w:rPr>
                <w:rFonts w:ascii="宋体" w:hAnsi="宋体" w:cs="宋体"/>
                <w:szCs w:val="21"/>
              </w:rPr>
            </w:pPr>
            <w:r>
              <w:rPr>
                <w:rFonts w:hint="eastAsia" w:ascii="宋体" w:hAnsi="宋体" w:cs="宋体"/>
                <w:szCs w:val="21"/>
              </w:rPr>
              <w:t>88.42</w:t>
            </w:r>
          </w:p>
        </w:tc>
        <w:tc>
          <w:tcPr>
            <w:tcW w:w="871" w:type="dxa"/>
            <w:tcBorders>
              <w:tl2br w:val="nil"/>
              <w:tr2bl w:val="nil"/>
            </w:tcBorders>
            <w:shd w:val="clear" w:color="auto" w:fill="FFFFFF"/>
            <w:noWrap/>
            <w:vAlign w:val="center"/>
          </w:tcPr>
          <w:p>
            <w:pPr>
              <w:adjustRightInd w:val="0"/>
              <w:snapToGrid w:val="0"/>
              <w:spacing w:line="0" w:lineRule="atLeast"/>
              <w:jc w:val="center"/>
              <w:rPr>
                <w:rFonts w:ascii="宋体" w:hAnsi="宋体" w:cs="宋体"/>
                <w:szCs w:val="21"/>
              </w:rPr>
            </w:pPr>
            <w:r>
              <w:rPr>
                <w:rFonts w:hint="eastAsia" w:ascii="宋体" w:hAnsi="宋体" w:cs="宋体"/>
                <w:szCs w:val="21"/>
              </w:rPr>
              <w:t>87.47</w:t>
            </w:r>
          </w:p>
        </w:tc>
        <w:tc>
          <w:tcPr>
            <w:tcW w:w="766" w:type="dxa"/>
            <w:tcBorders>
              <w:tl2br w:val="nil"/>
              <w:tr2bl w:val="nil"/>
            </w:tcBorders>
            <w:shd w:val="clear" w:color="auto" w:fill="FFFFFF"/>
            <w:noWrap/>
            <w:vAlign w:val="center"/>
          </w:tcPr>
          <w:p>
            <w:pPr>
              <w:adjustRightInd w:val="0"/>
              <w:snapToGrid w:val="0"/>
              <w:spacing w:line="0" w:lineRule="atLeast"/>
              <w:jc w:val="center"/>
              <w:rPr>
                <w:rFonts w:ascii="宋体" w:hAnsi="宋体" w:cs="宋体"/>
                <w:szCs w:val="21"/>
              </w:rPr>
            </w:pPr>
            <w:r>
              <w:rPr>
                <w:rFonts w:hint="eastAsia" w:ascii="宋体" w:hAnsi="宋体" w:cs="宋体"/>
                <w:szCs w:val="21"/>
              </w:rPr>
              <w:t>89.46</w:t>
            </w:r>
          </w:p>
        </w:tc>
        <w:tc>
          <w:tcPr>
            <w:tcW w:w="1112" w:type="dxa"/>
            <w:tcBorders>
              <w:tl2br w:val="nil"/>
              <w:tr2bl w:val="nil"/>
            </w:tcBorders>
            <w:shd w:val="clear" w:color="auto" w:fill="FFFFFF"/>
            <w:noWrap/>
            <w:vAlign w:val="center"/>
          </w:tcPr>
          <w:p>
            <w:pPr>
              <w:adjustRightInd w:val="0"/>
              <w:snapToGrid w:val="0"/>
              <w:spacing w:line="0" w:lineRule="atLeast"/>
              <w:jc w:val="center"/>
              <w:rPr>
                <w:rFonts w:ascii="宋体" w:hAnsi="宋体" w:cs="宋体"/>
                <w:szCs w:val="21"/>
              </w:rPr>
            </w:pPr>
            <w:r>
              <w:rPr>
                <w:rFonts w:hint="eastAsia" w:ascii="宋体" w:hAnsi="宋体" w:cs="宋体"/>
                <w:szCs w:val="21"/>
              </w:rPr>
              <w:t>85.92</w:t>
            </w:r>
          </w:p>
        </w:tc>
        <w:tc>
          <w:tcPr>
            <w:tcW w:w="916" w:type="dxa"/>
            <w:tcBorders>
              <w:tl2br w:val="nil"/>
              <w:tr2bl w:val="nil"/>
            </w:tcBorders>
            <w:shd w:val="clear" w:color="auto" w:fill="FFFFFF"/>
            <w:noWrap/>
            <w:vAlign w:val="center"/>
          </w:tcPr>
          <w:p>
            <w:pPr>
              <w:adjustRightInd w:val="0"/>
              <w:snapToGrid w:val="0"/>
              <w:spacing w:line="0" w:lineRule="atLeast"/>
              <w:jc w:val="center"/>
              <w:rPr>
                <w:rFonts w:ascii="宋体" w:hAnsi="宋体" w:cs="宋体"/>
                <w:szCs w:val="21"/>
              </w:rPr>
            </w:pPr>
            <w:r>
              <w:rPr>
                <w:rFonts w:hint="eastAsia" w:ascii="宋体" w:hAnsi="宋体" w:cs="宋体"/>
                <w:szCs w:val="21"/>
              </w:rPr>
              <w:t>86.64</w:t>
            </w:r>
          </w:p>
        </w:tc>
        <w:tc>
          <w:tcPr>
            <w:tcW w:w="841" w:type="dxa"/>
            <w:tcBorders>
              <w:tl2br w:val="nil"/>
              <w:tr2bl w:val="nil"/>
            </w:tcBorders>
            <w:shd w:val="clear" w:color="auto" w:fill="FFFFFF"/>
            <w:noWrap/>
            <w:vAlign w:val="center"/>
          </w:tcPr>
          <w:p>
            <w:pPr>
              <w:adjustRightInd w:val="0"/>
              <w:snapToGrid w:val="0"/>
              <w:spacing w:line="0" w:lineRule="atLeast"/>
              <w:jc w:val="center"/>
              <w:rPr>
                <w:rFonts w:ascii="宋体" w:hAnsi="宋体" w:cs="宋体"/>
                <w:szCs w:val="21"/>
              </w:rPr>
            </w:pPr>
            <w:r>
              <w:rPr>
                <w:rFonts w:hint="eastAsia" w:ascii="宋体" w:hAnsi="宋体" w:cs="宋体"/>
                <w:szCs w:val="21"/>
              </w:rPr>
              <w:t>86.29</w:t>
            </w:r>
          </w:p>
        </w:tc>
        <w:tc>
          <w:tcPr>
            <w:tcW w:w="856" w:type="dxa"/>
            <w:tcBorders>
              <w:tl2br w:val="nil"/>
              <w:tr2bl w:val="nil"/>
            </w:tcBorders>
            <w:shd w:val="clear" w:color="auto" w:fill="FFFFFF"/>
            <w:noWrap/>
            <w:vAlign w:val="center"/>
          </w:tcPr>
          <w:p>
            <w:pPr>
              <w:adjustRightInd w:val="0"/>
              <w:snapToGrid w:val="0"/>
              <w:spacing w:line="0" w:lineRule="atLeast"/>
              <w:jc w:val="center"/>
              <w:rPr>
                <w:rFonts w:ascii="宋体" w:hAnsi="宋体" w:cs="宋体"/>
                <w:szCs w:val="21"/>
              </w:rPr>
            </w:pPr>
            <w:r>
              <w:rPr>
                <w:rFonts w:hint="eastAsia" w:ascii="宋体" w:hAnsi="宋体" w:cs="宋体"/>
                <w:szCs w:val="21"/>
              </w:rPr>
              <w:t>90.70</w:t>
            </w:r>
          </w:p>
        </w:tc>
        <w:tc>
          <w:tcPr>
            <w:tcW w:w="757" w:type="dxa"/>
            <w:tcBorders>
              <w:tl2br w:val="nil"/>
              <w:tr2bl w:val="nil"/>
            </w:tcBorders>
            <w:shd w:val="clear" w:color="auto" w:fill="FFFFFF"/>
            <w:noWrap/>
            <w:vAlign w:val="center"/>
          </w:tcPr>
          <w:p>
            <w:pPr>
              <w:adjustRightInd w:val="0"/>
              <w:snapToGrid w:val="0"/>
              <w:spacing w:line="0" w:lineRule="atLeast"/>
              <w:jc w:val="center"/>
              <w:rPr>
                <w:rFonts w:ascii="宋体" w:hAnsi="宋体" w:cs="宋体"/>
                <w:szCs w:val="21"/>
              </w:rPr>
            </w:pPr>
            <w:r>
              <w:rPr>
                <w:rFonts w:hint="eastAsia" w:ascii="宋体" w:hAnsi="宋体" w:cs="宋体"/>
                <w:szCs w:val="21"/>
              </w:rPr>
              <w:t>89.99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trHeight w:val="476" w:hRule="atLeast"/>
          <w:jc w:val="center"/>
        </w:trPr>
        <w:tc>
          <w:tcPr>
            <w:tcW w:w="977" w:type="dxa"/>
            <w:tcBorders>
              <w:tl2br w:val="nil"/>
              <w:tr2bl w:val="nil"/>
            </w:tcBorders>
            <w:shd w:val="clear" w:color="auto" w:fill="FFFFFF"/>
            <w:noWrap/>
            <w:vAlign w:val="center"/>
          </w:tcPr>
          <w:p>
            <w:pPr>
              <w:adjustRightInd w:val="0"/>
              <w:snapToGrid w:val="0"/>
              <w:spacing w:line="0" w:lineRule="atLeast"/>
              <w:jc w:val="center"/>
              <w:rPr>
                <w:rFonts w:ascii="宋体" w:hAnsi="宋体" w:cs="宋体"/>
                <w:szCs w:val="21"/>
              </w:rPr>
            </w:pPr>
            <w:r>
              <w:rPr>
                <w:rFonts w:hint="eastAsia" w:ascii="宋体" w:hAnsi="宋体" w:cs="宋体"/>
                <w:szCs w:val="21"/>
              </w:rPr>
              <w:t>2016届</w:t>
            </w:r>
          </w:p>
        </w:tc>
        <w:tc>
          <w:tcPr>
            <w:tcW w:w="881" w:type="dxa"/>
            <w:tcBorders>
              <w:tl2br w:val="nil"/>
              <w:tr2bl w:val="nil"/>
            </w:tcBorders>
            <w:shd w:val="clear" w:color="auto" w:fill="FFFFFF"/>
            <w:noWrap/>
            <w:vAlign w:val="center"/>
          </w:tcPr>
          <w:p>
            <w:pPr>
              <w:adjustRightInd w:val="0"/>
              <w:snapToGrid w:val="0"/>
              <w:spacing w:line="0" w:lineRule="atLeast"/>
              <w:jc w:val="center"/>
              <w:rPr>
                <w:rFonts w:ascii="宋体" w:hAnsi="宋体" w:cs="宋体"/>
                <w:szCs w:val="21"/>
              </w:rPr>
            </w:pPr>
            <w:r>
              <w:rPr>
                <w:rFonts w:hint="eastAsia" w:ascii="宋体" w:hAnsi="宋体" w:cs="宋体"/>
                <w:szCs w:val="21"/>
              </w:rPr>
              <w:t>88.40</w:t>
            </w:r>
          </w:p>
        </w:tc>
        <w:tc>
          <w:tcPr>
            <w:tcW w:w="1278" w:type="dxa"/>
            <w:tcBorders>
              <w:tl2br w:val="nil"/>
              <w:tr2bl w:val="nil"/>
            </w:tcBorders>
            <w:shd w:val="clear" w:color="auto" w:fill="FFFFFF"/>
            <w:vAlign w:val="center"/>
          </w:tcPr>
          <w:p>
            <w:pPr>
              <w:adjustRightInd w:val="0"/>
              <w:snapToGrid w:val="0"/>
              <w:spacing w:line="0" w:lineRule="atLeast"/>
              <w:jc w:val="center"/>
              <w:rPr>
                <w:rFonts w:ascii="宋体" w:hAnsi="宋体" w:cs="宋体"/>
                <w:szCs w:val="21"/>
              </w:rPr>
            </w:pPr>
            <w:r>
              <w:rPr>
                <w:rFonts w:hint="eastAsia" w:ascii="宋体" w:hAnsi="宋体" w:cs="宋体"/>
                <w:szCs w:val="21"/>
              </w:rPr>
              <w:t>86.25</w:t>
            </w:r>
          </w:p>
        </w:tc>
        <w:tc>
          <w:tcPr>
            <w:tcW w:w="871" w:type="dxa"/>
            <w:tcBorders>
              <w:tl2br w:val="nil"/>
              <w:tr2bl w:val="nil"/>
            </w:tcBorders>
            <w:shd w:val="clear" w:color="auto" w:fill="FFFFFF"/>
            <w:noWrap/>
            <w:vAlign w:val="center"/>
          </w:tcPr>
          <w:p>
            <w:pPr>
              <w:adjustRightInd w:val="0"/>
              <w:snapToGrid w:val="0"/>
              <w:spacing w:line="0" w:lineRule="atLeast"/>
              <w:jc w:val="center"/>
              <w:rPr>
                <w:rFonts w:ascii="宋体" w:hAnsi="宋体" w:cs="宋体"/>
                <w:szCs w:val="21"/>
              </w:rPr>
            </w:pPr>
            <w:r>
              <w:rPr>
                <w:rFonts w:hint="eastAsia" w:ascii="宋体" w:hAnsi="宋体" w:cs="宋体"/>
                <w:szCs w:val="21"/>
              </w:rPr>
              <w:t>85.07</w:t>
            </w:r>
          </w:p>
        </w:tc>
        <w:tc>
          <w:tcPr>
            <w:tcW w:w="766" w:type="dxa"/>
            <w:tcBorders>
              <w:tl2br w:val="nil"/>
              <w:tr2bl w:val="nil"/>
            </w:tcBorders>
            <w:shd w:val="clear" w:color="auto" w:fill="FFFFFF"/>
            <w:noWrap/>
            <w:vAlign w:val="center"/>
          </w:tcPr>
          <w:p>
            <w:pPr>
              <w:adjustRightInd w:val="0"/>
              <w:snapToGrid w:val="0"/>
              <w:spacing w:line="0" w:lineRule="atLeast"/>
              <w:jc w:val="center"/>
              <w:rPr>
                <w:rFonts w:ascii="宋体" w:hAnsi="宋体" w:cs="宋体"/>
                <w:szCs w:val="21"/>
              </w:rPr>
            </w:pPr>
            <w:r>
              <w:rPr>
                <w:rFonts w:hint="eastAsia" w:ascii="宋体" w:hAnsi="宋体" w:cs="宋体"/>
                <w:szCs w:val="21"/>
              </w:rPr>
              <w:t>87.47</w:t>
            </w:r>
          </w:p>
        </w:tc>
        <w:tc>
          <w:tcPr>
            <w:tcW w:w="1112" w:type="dxa"/>
            <w:tcBorders>
              <w:tl2br w:val="nil"/>
              <w:tr2bl w:val="nil"/>
            </w:tcBorders>
            <w:shd w:val="clear" w:color="auto" w:fill="FFFFFF"/>
            <w:noWrap/>
            <w:vAlign w:val="center"/>
          </w:tcPr>
          <w:p>
            <w:pPr>
              <w:adjustRightInd w:val="0"/>
              <w:snapToGrid w:val="0"/>
              <w:spacing w:line="0" w:lineRule="atLeast"/>
              <w:jc w:val="center"/>
              <w:rPr>
                <w:rFonts w:ascii="宋体" w:hAnsi="宋体" w:cs="宋体"/>
                <w:szCs w:val="21"/>
              </w:rPr>
            </w:pPr>
            <w:r>
              <w:rPr>
                <w:rFonts w:hint="eastAsia" w:ascii="宋体" w:hAnsi="宋体" w:cs="宋体"/>
                <w:szCs w:val="21"/>
              </w:rPr>
              <w:t>82.89</w:t>
            </w:r>
          </w:p>
        </w:tc>
        <w:tc>
          <w:tcPr>
            <w:tcW w:w="916" w:type="dxa"/>
            <w:tcBorders>
              <w:tl2br w:val="nil"/>
              <w:tr2bl w:val="nil"/>
            </w:tcBorders>
            <w:shd w:val="clear" w:color="auto" w:fill="FFFFFF"/>
            <w:noWrap/>
            <w:vAlign w:val="center"/>
          </w:tcPr>
          <w:p>
            <w:pPr>
              <w:adjustRightInd w:val="0"/>
              <w:snapToGrid w:val="0"/>
              <w:spacing w:line="0" w:lineRule="atLeast"/>
              <w:jc w:val="center"/>
              <w:rPr>
                <w:rFonts w:ascii="宋体" w:hAnsi="宋体" w:cs="宋体"/>
                <w:szCs w:val="21"/>
              </w:rPr>
            </w:pPr>
            <w:r>
              <w:rPr>
                <w:rFonts w:hint="eastAsia" w:ascii="宋体" w:hAnsi="宋体" w:cs="宋体"/>
                <w:szCs w:val="21"/>
              </w:rPr>
              <w:t>83.67</w:t>
            </w:r>
          </w:p>
        </w:tc>
        <w:tc>
          <w:tcPr>
            <w:tcW w:w="841" w:type="dxa"/>
            <w:tcBorders>
              <w:tl2br w:val="nil"/>
              <w:tr2bl w:val="nil"/>
            </w:tcBorders>
            <w:shd w:val="clear" w:color="auto" w:fill="FFFFFF"/>
            <w:noWrap/>
            <w:vAlign w:val="center"/>
          </w:tcPr>
          <w:p>
            <w:pPr>
              <w:adjustRightInd w:val="0"/>
              <w:snapToGrid w:val="0"/>
              <w:spacing w:line="0" w:lineRule="atLeast"/>
              <w:jc w:val="center"/>
              <w:rPr>
                <w:rFonts w:ascii="宋体" w:hAnsi="宋体" w:cs="宋体"/>
                <w:szCs w:val="21"/>
              </w:rPr>
            </w:pPr>
            <w:r>
              <w:rPr>
                <w:rFonts w:hint="eastAsia" w:ascii="宋体" w:hAnsi="宋体" w:cs="宋体"/>
                <w:szCs w:val="21"/>
              </w:rPr>
              <w:t>83.52</w:t>
            </w:r>
          </w:p>
        </w:tc>
        <w:tc>
          <w:tcPr>
            <w:tcW w:w="856" w:type="dxa"/>
            <w:tcBorders>
              <w:tl2br w:val="nil"/>
              <w:tr2bl w:val="nil"/>
            </w:tcBorders>
            <w:shd w:val="clear" w:color="auto" w:fill="FFFFFF"/>
            <w:noWrap/>
            <w:vAlign w:val="center"/>
          </w:tcPr>
          <w:p>
            <w:pPr>
              <w:adjustRightInd w:val="0"/>
              <w:snapToGrid w:val="0"/>
              <w:spacing w:line="0" w:lineRule="atLeast"/>
              <w:jc w:val="center"/>
              <w:rPr>
                <w:rFonts w:ascii="宋体" w:hAnsi="宋体" w:cs="宋体"/>
                <w:szCs w:val="21"/>
              </w:rPr>
            </w:pPr>
            <w:r>
              <w:rPr>
                <w:rFonts w:hint="eastAsia" w:ascii="宋体" w:hAnsi="宋体" w:cs="宋体"/>
                <w:szCs w:val="21"/>
              </w:rPr>
              <w:t>89.50</w:t>
            </w:r>
          </w:p>
        </w:tc>
        <w:tc>
          <w:tcPr>
            <w:tcW w:w="757" w:type="dxa"/>
            <w:tcBorders>
              <w:tl2br w:val="nil"/>
              <w:tr2bl w:val="nil"/>
            </w:tcBorders>
            <w:shd w:val="clear" w:color="auto" w:fill="FFFFFF"/>
            <w:noWrap/>
            <w:vAlign w:val="center"/>
          </w:tcPr>
          <w:p>
            <w:pPr>
              <w:adjustRightInd w:val="0"/>
              <w:snapToGrid w:val="0"/>
              <w:spacing w:line="0" w:lineRule="atLeast"/>
              <w:jc w:val="center"/>
              <w:rPr>
                <w:rFonts w:ascii="宋体" w:hAnsi="宋体" w:cs="宋体"/>
                <w:szCs w:val="21"/>
              </w:rPr>
            </w:pPr>
            <w:r>
              <w:rPr>
                <w:rFonts w:hint="eastAsia" w:ascii="宋体" w:hAnsi="宋体" w:cs="宋体"/>
                <w:szCs w:val="21"/>
              </w:rPr>
              <w:t>88.45</w:t>
            </w:r>
          </w:p>
        </w:tc>
      </w:tr>
    </w:tbl>
    <w:p>
      <w:pPr>
        <w:adjustRightInd w:val="0"/>
        <w:snapToGrid w:val="0"/>
        <w:spacing w:line="400" w:lineRule="exact"/>
        <w:rPr>
          <w:rFonts w:ascii="宋体" w:hAnsi="宋体" w:cs="宋体"/>
          <w:szCs w:val="21"/>
        </w:rPr>
      </w:pPr>
    </w:p>
    <w:p>
      <w:pPr>
        <w:adjustRightInd w:val="0"/>
        <w:snapToGrid w:val="0"/>
        <w:rPr>
          <w:rFonts w:ascii="黑体" w:hAnsi="黑体" w:eastAsia="黑体" w:cs="黑体"/>
          <w:sz w:val="24"/>
        </w:rPr>
      </w:pPr>
      <w:r>
        <w:rPr>
          <w:rFonts w:hint="eastAsia" w:ascii="黑体" w:hAnsi="黑体" w:eastAsia="黑体" w:cs="黑体"/>
          <w:sz w:val="24"/>
        </w:rPr>
        <w:t>2. 专业相关度和离职率</w:t>
      </w:r>
    </w:p>
    <w:p>
      <w:pPr>
        <w:spacing w:line="400" w:lineRule="exact"/>
        <w:ind w:firstLine="456" w:firstLineChars="200"/>
        <w:rPr>
          <w:rFonts w:ascii="宋体" w:hAnsi="宋体" w:cs="宋体"/>
          <w:sz w:val="24"/>
        </w:rPr>
      </w:pPr>
      <w:r>
        <w:rPr>
          <w:rFonts w:hint="eastAsia" w:ascii="宋体" w:hAnsi="宋体" w:cs="宋体"/>
          <w:sz w:val="24"/>
        </w:rPr>
        <w:t>我校2019届毕业生毕业一年后就业专业相关度较好，专业相关度为78.43分，高于全省本科（69.13分）平均水平，相较于2018届（77.12分）有所上升。离职率为24.07%，低于全省本科（32.66%）平均水平。</w:t>
      </w:r>
    </w:p>
    <w:p>
      <w:pPr>
        <w:rPr>
          <w:rFonts w:ascii="黑体" w:hAnsi="黑体" w:eastAsia="黑体" w:cs="黑体"/>
          <w:sz w:val="28"/>
          <w:szCs w:val="28"/>
        </w:rPr>
      </w:pPr>
      <w:r>
        <w:rPr>
          <w:rFonts w:hint="eastAsia" w:ascii="黑体" w:hAnsi="黑体" w:eastAsia="黑体" w:cs="黑体"/>
          <w:sz w:val="28"/>
          <w:szCs w:val="28"/>
        </w:rPr>
        <w:t>（四）用人单位对毕业生的评价</w:t>
      </w:r>
    </w:p>
    <w:p>
      <w:pPr>
        <w:spacing w:line="400" w:lineRule="exact"/>
        <w:ind w:firstLine="456" w:firstLineChars="200"/>
        <w:rPr>
          <w:rFonts w:ascii="宋体" w:hAnsi="宋体" w:cs="宋体"/>
          <w:sz w:val="24"/>
        </w:rPr>
      </w:pPr>
      <w:r>
        <w:rPr>
          <w:rFonts w:hint="eastAsia" w:ascii="宋体" w:hAnsi="宋体" w:cs="宋体"/>
          <w:sz w:val="24"/>
        </w:rPr>
        <w:t>根据浙江省教育评估院发布的2019届高校毕业生职业发展状况及人才培养质量调查报告显示，用人单位对我校2019届毕业生的综合素质满意度为93.61分。具体而言，满意度最高的是实践动手能力（93.01分）、协调合作能力（93.01分），其次是人际沟通能力（92.89分）和专业水平（92.77分）方面，相对而言管理能力（90.72分）方面满意度较低。</w:t>
      </w:r>
    </w:p>
    <w:p>
      <w:pPr>
        <w:rPr>
          <w:rFonts w:ascii="黑体" w:hAnsi="黑体" w:eastAsia="黑体" w:cs="黑体"/>
          <w:sz w:val="30"/>
          <w:szCs w:val="30"/>
        </w:rPr>
      </w:pPr>
      <w:r>
        <w:rPr>
          <w:rFonts w:hint="eastAsia" w:ascii="黑体" w:hAnsi="黑体" w:eastAsia="黑体" w:cs="黑体"/>
          <w:sz w:val="30"/>
          <w:szCs w:val="30"/>
        </w:rPr>
        <w:t>七、特色发展</w:t>
      </w:r>
    </w:p>
    <w:p>
      <w:pPr>
        <w:rPr>
          <w:rFonts w:ascii="黑体" w:hAnsi="黑体" w:eastAsia="黑体" w:cs="黑体"/>
          <w:sz w:val="28"/>
          <w:szCs w:val="28"/>
        </w:rPr>
      </w:pPr>
      <w:r>
        <w:rPr>
          <w:rFonts w:hint="eastAsia" w:ascii="黑体" w:hAnsi="黑体" w:eastAsia="黑体" w:cs="黑体"/>
          <w:sz w:val="28"/>
          <w:szCs w:val="28"/>
        </w:rPr>
        <w:t>（一）推进蚕丝绸文化进校园，构建文化育人的思政大格局</w:t>
      </w:r>
    </w:p>
    <w:p>
      <w:pPr>
        <w:spacing w:line="400" w:lineRule="exact"/>
        <w:ind w:firstLine="456" w:firstLineChars="200"/>
        <w:rPr>
          <w:rFonts w:ascii="宋体" w:hAnsi="宋体" w:cs="宋体"/>
          <w:sz w:val="24"/>
        </w:rPr>
      </w:pPr>
      <w:r>
        <w:rPr>
          <w:rFonts w:hint="eastAsia" w:ascii="宋体" w:hAnsi="宋体" w:cs="宋体"/>
          <w:sz w:val="24"/>
        </w:rPr>
        <w:t>传承创新蚕丝绸文化，整合和挖掘湖州乃至全国丰富的蚕丝绸文化资源，组建专家团队，开设蚕丝绸文化课程，与中国丝绸博物馆等共建5个文化和产业基地，开展蚕丝绸文化周活动，向世界讲好蚕丝绸文化的中国故事。学校蚕丝绸文化基地获评教育部“2020年全国普通高校中华优秀传统文化传承基地”。</w:t>
      </w:r>
    </w:p>
    <w:p>
      <w:pPr>
        <w:pStyle w:val="2"/>
        <w:keepNext w:val="0"/>
        <w:keepLines w:val="0"/>
        <w:widowControl/>
        <w:shd w:val="clear" w:color="auto" w:fill="FFFFFF"/>
        <w:spacing w:before="0" w:after="0" w:line="400" w:lineRule="exact"/>
        <w:ind w:firstLine="456" w:firstLineChars="200"/>
        <w:rPr>
          <w:rFonts w:ascii="宋体" w:hAnsi="宋体" w:cs="宋体"/>
          <w:sz w:val="24"/>
          <w:szCs w:val="24"/>
        </w:rPr>
      </w:pPr>
      <w:r>
        <w:rPr>
          <w:rFonts w:hint="eastAsia" w:ascii="宋体" w:hAnsi="宋体" w:cs="宋体"/>
          <w:b w:val="0"/>
          <w:bCs w:val="0"/>
          <w:kern w:val="2"/>
          <w:sz w:val="24"/>
          <w:szCs w:val="24"/>
        </w:rPr>
        <w:t>基地聘请原湖州市蚕桑技术推广站站长、教授级高工楼黎静任首席专家，邀请湖州市蚕桑研究所所长张金卫率领其团队提供支持，聘请“辽绣”传承人何晓霞、国家级非遗扫蚕花传承人徐亚乐老人为学生教授课程。</w:t>
      </w:r>
    </w:p>
    <w:p>
      <w:pPr>
        <w:spacing w:line="400" w:lineRule="exact"/>
        <w:ind w:firstLine="456" w:firstLineChars="200"/>
        <w:rPr>
          <w:rFonts w:ascii="宋体" w:hAnsi="宋体" w:cs="宋体"/>
          <w:sz w:val="24"/>
        </w:rPr>
      </w:pPr>
      <w:r>
        <w:rPr>
          <w:rFonts w:hint="eastAsia" w:ascii="宋体" w:hAnsi="宋体" w:cs="宋体"/>
          <w:sz w:val="24"/>
        </w:rPr>
        <w:t>基地通过开设《辽绣艺术创作》《中国丝绸文化》《湖州地区民间蚕桑音乐实践教育（劳动教育）》《蚕丝绸工艺美术考察与实践（劳动教育）》《蚕丝绸美术》将太湖流域清明轧蚕花、高杆船技、双庙渚蚕花水会、桐乡蚕歌等一大批由蚕而起、因蚕而庆的传统习俗融入课堂，将桑蚕丝帛的制作加工工艺融入课程。让校内大学生亲身体验收蚁、头眠、二眠、出火、大眠和熟蚕上簇的环节，在养蚕过程中定时喂叶、严格消毒，严格控制室内的温度、湿度等条件，让文化变得可见、可感。</w:t>
      </w:r>
    </w:p>
    <w:p>
      <w:pPr>
        <w:pStyle w:val="2"/>
        <w:keepNext w:val="0"/>
        <w:keepLines w:val="0"/>
        <w:widowControl/>
        <w:shd w:val="clear" w:color="auto" w:fill="FFFFFF"/>
        <w:spacing w:before="0" w:after="0" w:line="400" w:lineRule="exact"/>
        <w:ind w:firstLine="456" w:firstLineChars="200"/>
        <w:rPr>
          <w:rFonts w:ascii="宋体" w:hAnsi="宋体" w:cs="宋体"/>
          <w:b w:val="0"/>
          <w:bCs w:val="0"/>
          <w:kern w:val="2"/>
          <w:sz w:val="24"/>
          <w:szCs w:val="24"/>
        </w:rPr>
      </w:pPr>
      <w:r>
        <w:rPr>
          <w:rFonts w:hint="eastAsia" w:ascii="宋体" w:hAnsi="宋体" w:cs="宋体"/>
          <w:b w:val="0"/>
          <w:bCs w:val="0"/>
          <w:kern w:val="2"/>
          <w:sz w:val="24"/>
          <w:szCs w:val="24"/>
        </w:rPr>
        <w:t>基地在校内外组织各类桑蚕文化实践活动，构建文化育人环境。一是高年级学生用自己养的蚕，通过去蛹、裁剪蚕茧、亲手粘贴等程序制作蚕茧书签送给2021级新生，让学生体会中国传统文化团结一致、勤劳勇敢、自强不息的丰富内涵。二是在湖州三县两区，建设面向中小学、幼儿园的社会实践基地，引导基础教育对象体验桑蚕文化。三是基地牵头与新市、武康两地合作创建了“教育部中华优秀传统文化传承基地（蚕丝绸）”校外基地，开展扫蚕花地、传统养蚕技艺等非遗项目的数字化保护活动，以及传播绫绢装裱技艺等实践活动。四是基地开创“我爱蚕宝宝”公众号，在《钱江晚报》24小时客户端开设“春蚕日记”，利用融媒体详细记录收蚁、头眠、二眠、出火、大眠和熟蚕上簇等主要环节。这些记录深受读者喜欢，日记点击量累计达数百万次。此外，新闻“湖州师范学院‘黄金茧’大丰收”在“学习强国”刊发，“践行文化传承创新 探索双向转化新路”的报道在《中国教育报》刊发。</w:t>
      </w:r>
    </w:p>
    <w:p>
      <w:pPr>
        <w:pStyle w:val="2"/>
        <w:keepNext w:val="0"/>
        <w:keepLines w:val="0"/>
        <w:widowControl/>
        <w:shd w:val="clear" w:color="auto" w:fill="FFFFFF"/>
        <w:spacing w:before="0" w:after="0" w:line="400" w:lineRule="exact"/>
        <w:ind w:firstLine="456" w:firstLineChars="200"/>
        <w:rPr>
          <w:rFonts w:ascii="宋体" w:hAnsi="宋体" w:cs="宋体"/>
          <w:b w:val="0"/>
          <w:bCs w:val="0"/>
          <w:kern w:val="2"/>
          <w:sz w:val="24"/>
          <w:szCs w:val="24"/>
        </w:rPr>
      </w:pPr>
      <w:r>
        <w:rPr>
          <w:rFonts w:hint="eastAsia" w:ascii="宋体" w:hAnsi="宋体" w:cs="宋体"/>
          <w:b w:val="0"/>
          <w:bCs w:val="0"/>
          <w:kern w:val="2"/>
          <w:sz w:val="24"/>
          <w:szCs w:val="24"/>
        </w:rPr>
        <w:t>“文化自信是一个国家、一个民族发展中更基本、更深沉、更持久的力量。”基地将继续以中华优秀传统文化整理与传播为载体，积极构建文化引领育人的思政大格局，向世界讲好蚕丝绸文化的中国故事，彰显中国特色社会主义的文化自信，使湖州努力成为弘扬中华优秀传统蚕丝绸文化和蚕桑生态文明的重要窗口。</w:t>
      </w:r>
    </w:p>
    <w:p>
      <w:pPr>
        <w:rPr>
          <w:rFonts w:ascii="黑体" w:hAnsi="黑体" w:eastAsia="黑体" w:cs="黑体"/>
          <w:sz w:val="28"/>
          <w:szCs w:val="28"/>
        </w:rPr>
      </w:pPr>
      <w:r>
        <w:rPr>
          <w:rFonts w:hint="eastAsia" w:ascii="黑体" w:hAnsi="黑体" w:eastAsia="黑体" w:cs="黑体"/>
          <w:sz w:val="28"/>
          <w:szCs w:val="28"/>
        </w:rPr>
        <w:t>（二）深化君子文化建设，激发文化思政教育活力</w:t>
      </w:r>
    </w:p>
    <w:p>
      <w:pPr>
        <w:pStyle w:val="2"/>
        <w:keepNext w:val="0"/>
        <w:keepLines w:val="0"/>
        <w:widowControl/>
        <w:shd w:val="clear" w:color="auto" w:fill="FFFFFF"/>
        <w:spacing w:before="0" w:after="0" w:line="400" w:lineRule="exact"/>
        <w:ind w:firstLine="456" w:firstLineChars="200"/>
        <w:rPr>
          <w:rFonts w:ascii="宋体" w:hAnsi="宋体" w:cs="宋体"/>
          <w:b w:val="0"/>
          <w:bCs w:val="0"/>
          <w:kern w:val="2"/>
          <w:sz w:val="24"/>
          <w:szCs w:val="24"/>
        </w:rPr>
      </w:pPr>
      <w:r>
        <w:rPr>
          <w:rFonts w:hint="eastAsia" w:ascii="宋体" w:hAnsi="宋体" w:cs="宋体"/>
          <w:b w:val="0"/>
          <w:bCs w:val="0"/>
          <w:kern w:val="2"/>
          <w:sz w:val="24"/>
          <w:szCs w:val="24"/>
        </w:rPr>
        <w:t xml:space="preserve">继续立足立德树人根本任务，弘扬君子文化建设，构建思政育人新格局。激发《君子礼仪和大学生形象塑造》《国学智慧与君子人格修养》两门通识核心课课程育人功效，将君子文化德育元素与课程深度融合，培养学生君子人格。将抗疫精神与君子之风的时代价值相融合，以党团课、主题班会、团日活动、从游茶约、原创话剧《君子胡瑗》展演等各类教育活动为平台，促进“君子之风”的内涵建设。开展“十个一系列”新生始业教育活动和“八个一”毕业生毕业教育活动，举办“领悟抗疫精神 用爱书写人生”“勇担历史使命 成就卓越人生”的“书记校长话成长”新生始业教育报告会，充分挖掘疫情防控阻击战中的思政元素，弘扬君子之仁、之勇，激励学生勇担时代责任。扎实推进国学经典书籍推荐、课外经典书籍阅读、“向老师问好”“文明寝室建设”“三室一馆一路”等活动，不断提升学生文明有礼形象。进一步推动学院将“君子之风”与学科专业特色结合，鼓励学生结合专业在社会实践中涵养当代君子人格，发挥“君子之风”的德育引领功能。 </w:t>
      </w:r>
    </w:p>
    <w:p>
      <w:pPr>
        <w:rPr>
          <w:rFonts w:ascii="黑体" w:hAnsi="黑体" w:eastAsia="黑体" w:cs="黑体"/>
          <w:sz w:val="30"/>
          <w:szCs w:val="30"/>
        </w:rPr>
      </w:pPr>
      <w:r>
        <w:rPr>
          <w:rFonts w:hint="eastAsia" w:ascii="黑体" w:hAnsi="黑体" w:eastAsia="黑体" w:cs="黑体"/>
          <w:sz w:val="30"/>
          <w:szCs w:val="30"/>
        </w:rPr>
        <w:t>八、问题与对策</w:t>
      </w:r>
    </w:p>
    <w:p>
      <w:pPr>
        <w:rPr>
          <w:rFonts w:ascii="黑体" w:hAnsi="黑体" w:eastAsia="黑体" w:cs="黑体"/>
          <w:sz w:val="28"/>
          <w:szCs w:val="28"/>
        </w:rPr>
      </w:pPr>
      <w:r>
        <w:rPr>
          <w:rFonts w:hint="eastAsia" w:ascii="黑体" w:hAnsi="黑体" w:eastAsia="黑体" w:cs="黑体"/>
          <w:sz w:val="28"/>
          <w:szCs w:val="28"/>
        </w:rPr>
        <w:t>（一）创新创业教育有待进一步加强</w:t>
      </w:r>
    </w:p>
    <w:p>
      <w:pPr>
        <w:snapToGrid w:val="0"/>
        <w:spacing w:line="400" w:lineRule="exact"/>
        <w:ind w:firstLine="456" w:firstLineChars="200"/>
        <w:rPr>
          <w:rFonts w:ascii="宋体" w:hAnsi="宋体" w:cs="宋体"/>
          <w:sz w:val="24"/>
        </w:rPr>
      </w:pPr>
      <w:r>
        <w:rPr>
          <w:rFonts w:hint="eastAsia" w:ascii="宋体" w:hAnsi="宋体" w:cs="宋体"/>
          <w:sz w:val="24"/>
        </w:rPr>
        <w:t>目前我校创新创业教育存在着教师对学生创新创业理解不透彻、创业教育与专业教育融合度不够、双师双能型师资队伍不足等问题。</w:t>
      </w:r>
    </w:p>
    <w:p>
      <w:pPr>
        <w:snapToGrid w:val="0"/>
        <w:spacing w:line="400" w:lineRule="exact"/>
        <w:ind w:firstLine="456" w:firstLineChars="200"/>
        <w:rPr>
          <w:rFonts w:ascii="宋体" w:hAnsi="宋体" w:cs="宋体"/>
          <w:sz w:val="24"/>
        </w:rPr>
      </w:pPr>
      <w:r>
        <w:rPr>
          <w:rFonts w:hint="eastAsia" w:ascii="宋体" w:hAnsi="宋体" w:cs="宋体"/>
          <w:sz w:val="24"/>
        </w:rPr>
        <w:t>下一步改进思路：加强创新创业教育体系建设，整合学科、科研、平台、人才、项目等创新创业资源，为学生提供更高质量的创新创业实践、实训、实战平台。</w:t>
      </w:r>
    </w:p>
    <w:p>
      <w:pPr>
        <w:rPr>
          <w:rFonts w:ascii="黑体" w:hAnsi="黑体" w:eastAsia="黑体" w:cs="黑体"/>
          <w:sz w:val="28"/>
          <w:szCs w:val="28"/>
        </w:rPr>
      </w:pPr>
      <w:r>
        <w:rPr>
          <w:rFonts w:hint="eastAsia" w:ascii="黑体" w:hAnsi="黑体" w:eastAsia="黑体" w:cs="黑体"/>
          <w:sz w:val="28"/>
          <w:szCs w:val="28"/>
        </w:rPr>
        <w:t>（二）产教融合深度有待进一步优化</w:t>
      </w:r>
    </w:p>
    <w:p>
      <w:pPr>
        <w:snapToGrid w:val="0"/>
        <w:spacing w:line="400" w:lineRule="exact"/>
        <w:ind w:firstLine="456" w:firstLineChars="200"/>
        <w:rPr>
          <w:rFonts w:ascii="宋体" w:hAnsi="宋体" w:cs="宋体"/>
          <w:sz w:val="24"/>
        </w:rPr>
      </w:pPr>
      <w:r>
        <w:rPr>
          <w:rFonts w:hint="eastAsia" w:ascii="宋体" w:hAnsi="宋体" w:cs="宋体"/>
          <w:sz w:val="24"/>
        </w:rPr>
        <w:t>产教融合中存在校企合作持续性不足、融合渠道畅通性不足、合作形式单一、校企合作约束机制不够健全等问题，影响了产教融合深度。</w:t>
      </w:r>
    </w:p>
    <w:p>
      <w:pPr>
        <w:snapToGrid w:val="0"/>
        <w:spacing w:line="400" w:lineRule="exact"/>
        <w:ind w:firstLine="456" w:firstLineChars="200"/>
        <w:rPr>
          <w:rFonts w:ascii="宋体" w:hAnsi="宋体" w:cs="宋体"/>
          <w:sz w:val="24"/>
        </w:rPr>
      </w:pPr>
      <w:r>
        <w:rPr>
          <w:rFonts w:hint="eastAsia" w:ascii="宋体" w:hAnsi="宋体" w:cs="宋体"/>
          <w:sz w:val="24"/>
        </w:rPr>
        <w:t>下一步改进思路：紧紧围绕地方经济和产业转型升级这一主题，以满足市场需求为导向，深化教育供给侧结构性改革，把校企合作、产教融合作为转型的战略之一，探索创新产教融合的运行机制与管理模式，加强高水平引领产教融合理论与实践的师资队伍建设。</w:t>
      </w:r>
    </w:p>
    <w:p>
      <w:pPr>
        <w:rPr>
          <w:rFonts w:ascii="黑体" w:hAnsi="黑体" w:eastAsia="黑体" w:cs="黑体"/>
          <w:sz w:val="28"/>
          <w:szCs w:val="28"/>
        </w:rPr>
      </w:pPr>
      <w:r>
        <w:rPr>
          <w:rFonts w:hint="eastAsia" w:ascii="黑体" w:hAnsi="黑体" w:eastAsia="黑体" w:cs="黑体"/>
          <w:sz w:val="28"/>
          <w:szCs w:val="28"/>
        </w:rPr>
        <w:t>（三）实践教学质量有待进一步提升</w:t>
      </w:r>
    </w:p>
    <w:p>
      <w:pPr>
        <w:snapToGrid w:val="0"/>
        <w:spacing w:line="400" w:lineRule="exact"/>
        <w:ind w:firstLine="456" w:firstLineChars="200"/>
        <w:rPr>
          <w:rFonts w:ascii="宋体" w:hAnsi="宋体" w:cs="宋体"/>
          <w:sz w:val="24"/>
        </w:rPr>
      </w:pPr>
      <w:r>
        <w:rPr>
          <w:rFonts w:hint="eastAsia" w:ascii="宋体" w:hAnsi="宋体" w:cs="宋体"/>
          <w:sz w:val="24"/>
        </w:rPr>
        <w:t>实践教学质量存在反馈信息单一、反馈途径流程长、缺乏过程性反馈，调控改进不及时等问题。</w:t>
      </w:r>
    </w:p>
    <w:p>
      <w:pPr>
        <w:snapToGrid w:val="0"/>
        <w:spacing w:line="400" w:lineRule="exact"/>
        <w:ind w:firstLine="456" w:firstLineChars="200"/>
        <w:rPr>
          <w:rFonts w:ascii="宋体" w:hAnsi="宋体" w:cs="宋体"/>
          <w:sz w:val="24"/>
        </w:rPr>
      </w:pPr>
      <w:r>
        <w:rPr>
          <w:rFonts w:hint="eastAsia" w:ascii="宋体" w:hAnsi="宋体" w:cs="宋体"/>
          <w:sz w:val="24"/>
        </w:rPr>
        <w:t xml:space="preserve">下一步改进思路：进一步探索建立相互关联的“点对点”式多渠道反馈途径；强化证据意识，建立以学生为主体，基于证据化的反馈内容体系；进一步构建多主体实践教学动态调控改进机制。         </w:t>
      </w:r>
    </w:p>
    <w:sectPr>
      <w:footerReference r:id="rId5" w:type="default"/>
      <w:pgSz w:w="11906" w:h="16838"/>
      <w:pgMar w:top="1417" w:right="1417" w:bottom="1701" w:left="1417" w:header="680" w:footer="1020" w:gutter="0"/>
      <w:pgNumType w:start="1"/>
      <w:cols w:space="0" w:num="1"/>
      <w:docGrid w:type="linesAndChars" w:linePitch="292" w:charSpace="-266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粗黑宋简体">
    <w:altName w:val="宋体"/>
    <w:panose1 w:val="02000000000000000000"/>
    <w:charset w:val="86"/>
    <w:family w:val="auto"/>
    <w:pitch w:val="default"/>
    <w:sig w:usb0="00000000" w:usb1="00000000"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pPr>
                          <w:r>
                            <w:fldChar w:fldCharType="begin"/>
                          </w:r>
                          <w:r>
                            <w:instrText xml:space="preserve"> PAGE  \* MERGEFORMAT </w:instrText>
                          </w:r>
                          <w:r>
                            <w:fldChar w:fldCharType="separate"/>
                          </w:r>
                          <w:r>
                            <w:t>30</w:t>
                          </w:r>
                          <w:r>
                            <w:fldChar w:fldCharType="end"/>
                          </w:r>
                        </w:p>
                      </w:txbxContent>
                    </wps:txbx>
                    <wps:bodyPr wrap="none" lIns="0" tIns="0" rIns="0" bIns="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1FEEsEBAACNAwAADgAAAGRycy9lMm9Eb2MueG1srVPNjtMwEL4j8Q6W&#10;79Rpk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GtKHLc48Mv3b5cfvy4/v5Jl&#10;lqcPUGPWQ8C8NNz5AZdm9gM6M+tBRZu/yIdgHMU9X8WVQyIiP1qv1usKQwJj8wXx2ePzECG9ld6S&#10;bDQ04vSKqPz0HtKYOqfkas7fa2PKBI37y4GY2cNy72OP2UrDfpgI7X17Rj49Dr6hDvecEvPOoa55&#10;R2YjzsZ+MnINCLfHhIVLPxl1hJqK4ZQKo2mj8hr8eS9Zj3/R9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R1FEEsEBAACNAwAADgAAAAAAAAABACAAAAAeAQAAZHJzL2Uyb0RvYy54bWxQSwUG&#10;AAAAAAYABgBZAQAAUQUAAAAA&#10;">
              <v:fill on="f" focussize="0,0"/>
              <v:stroke on="f"/>
              <v:imagedata o:title=""/>
              <o:lock v:ext="edit" aspectratio="f"/>
              <v:textbox inset="0mm,0mm,0mm,0mm" style="mso-fit-shape-to-text:t;">
                <w:txbxContent>
                  <w:p>
                    <w:pPr>
                      <w:pStyle w:val="6"/>
                    </w:pPr>
                    <w:r>
                      <w:fldChar w:fldCharType="begin"/>
                    </w:r>
                    <w:r>
                      <w:instrText xml:space="preserve"> PAGE  \* MERGEFORMAT </w:instrText>
                    </w:r>
                    <w:r>
                      <w:fldChar w:fldCharType="separate"/>
                    </w:r>
                    <w:r>
                      <w:t>30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top w:val="none" w:color="auto" w:sz="0" w:space="0"/>
        <w:left w:val="none" w:color="auto" w:sz="0" w:space="0"/>
        <w:bottom w:val="single" w:color="auto" w:sz="6" w:space="1"/>
        <w:right w:val="none" w:color="auto" w:sz="0" w:space="0"/>
      </w:pBdr>
      <w:wordWrap w:val="0"/>
    </w:pPr>
    <w:r>
      <w:rPr>
        <w:rFonts w:hint="eastAsia"/>
      </w:rPr>
      <w:drawing>
        <wp:inline distT="0" distB="0" distL="114300" distR="114300">
          <wp:extent cx="1465580" cy="358140"/>
          <wp:effectExtent l="0" t="0" r="1270" b="3810"/>
          <wp:docPr id="9" name="图片 3" descr="红校标校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3" descr="红校标校名"/>
                  <pic:cNvPicPr>
                    <a:picLocks noChangeAspect="1"/>
                  </pic:cNvPicPr>
                </pic:nvPicPr>
                <pic:blipFill>
                  <a:blip r:embed="rId1"/>
                  <a:stretch>
                    <a:fillRect/>
                  </a:stretch>
                </pic:blipFill>
                <pic:spPr>
                  <a:xfrm>
                    <a:off x="0" y="0"/>
                    <a:ext cx="1465580" cy="358140"/>
                  </a:xfrm>
                  <a:prstGeom prst="rect">
                    <a:avLst/>
                  </a:prstGeom>
                  <a:noFill/>
                  <a:ln>
                    <a:noFill/>
                  </a:ln>
                </pic:spPr>
              </pic:pic>
            </a:graphicData>
          </a:graphic>
        </wp:inline>
      </w:drawing>
    </w:r>
    <w:r>
      <w:rPr>
        <w:rFonts w:hint="eastAsia"/>
      </w:rPr>
      <w:t xml:space="preserve">                            </w:t>
    </w:r>
    <w:r>
      <w:rPr>
        <w:rFonts w:eastAsia="方正粗黑宋简体"/>
        <w:sz w:val="28"/>
        <w:szCs w:val="28"/>
      </w:rPr>
      <w:t>2020-2021</w:t>
    </w:r>
    <w:r>
      <w:rPr>
        <w:rFonts w:hint="eastAsia" w:ascii="黑体" w:hAnsi="黑体" w:eastAsia="黑体"/>
        <w:sz w:val="28"/>
        <w:szCs w:val="28"/>
      </w:rPr>
      <w:t>学年本科教学质量报告</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documentProtection w:enforcement="0"/>
  <w:defaultTabStop w:val="420"/>
  <w:drawingGridHorizontalSpacing w:val="99"/>
  <w:drawingGridVerticalSpacing w:val="14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D80E2F"/>
    <w:rsid w:val="000B28E9"/>
    <w:rsid w:val="000C4A23"/>
    <w:rsid w:val="00101829"/>
    <w:rsid w:val="00132604"/>
    <w:rsid w:val="00145D9E"/>
    <w:rsid w:val="001B35EF"/>
    <w:rsid w:val="001D22A5"/>
    <w:rsid w:val="002F5271"/>
    <w:rsid w:val="0034785A"/>
    <w:rsid w:val="00370F6D"/>
    <w:rsid w:val="003C447D"/>
    <w:rsid w:val="0041776E"/>
    <w:rsid w:val="00470537"/>
    <w:rsid w:val="004F44CF"/>
    <w:rsid w:val="00536C0A"/>
    <w:rsid w:val="005C2ECB"/>
    <w:rsid w:val="005E0D39"/>
    <w:rsid w:val="005E473D"/>
    <w:rsid w:val="006F17A8"/>
    <w:rsid w:val="00702E32"/>
    <w:rsid w:val="00714104"/>
    <w:rsid w:val="007705C0"/>
    <w:rsid w:val="0088323A"/>
    <w:rsid w:val="00886795"/>
    <w:rsid w:val="009462F6"/>
    <w:rsid w:val="009725C7"/>
    <w:rsid w:val="00A4745B"/>
    <w:rsid w:val="00A52B3E"/>
    <w:rsid w:val="00AF3B98"/>
    <w:rsid w:val="00B758D0"/>
    <w:rsid w:val="00B82942"/>
    <w:rsid w:val="00CE7FE6"/>
    <w:rsid w:val="00D0104A"/>
    <w:rsid w:val="00D60BFA"/>
    <w:rsid w:val="00D7786D"/>
    <w:rsid w:val="00E86370"/>
    <w:rsid w:val="00E90E0C"/>
    <w:rsid w:val="00EE56F9"/>
    <w:rsid w:val="00F367BD"/>
    <w:rsid w:val="00FE7AAE"/>
    <w:rsid w:val="011D1FAC"/>
    <w:rsid w:val="01486773"/>
    <w:rsid w:val="014B2F14"/>
    <w:rsid w:val="017E0E9A"/>
    <w:rsid w:val="01B63C57"/>
    <w:rsid w:val="01C516BE"/>
    <w:rsid w:val="029C001B"/>
    <w:rsid w:val="02AE54B0"/>
    <w:rsid w:val="02F05550"/>
    <w:rsid w:val="035612D5"/>
    <w:rsid w:val="037D4E9F"/>
    <w:rsid w:val="04337206"/>
    <w:rsid w:val="04647EE6"/>
    <w:rsid w:val="047A3C95"/>
    <w:rsid w:val="04A77175"/>
    <w:rsid w:val="04AE06A1"/>
    <w:rsid w:val="04E4218C"/>
    <w:rsid w:val="04F22030"/>
    <w:rsid w:val="05A74859"/>
    <w:rsid w:val="064E6D53"/>
    <w:rsid w:val="06523AE7"/>
    <w:rsid w:val="06874D95"/>
    <w:rsid w:val="06BB0EB2"/>
    <w:rsid w:val="06E646CF"/>
    <w:rsid w:val="07A12AA4"/>
    <w:rsid w:val="085306D9"/>
    <w:rsid w:val="087A669B"/>
    <w:rsid w:val="08BB5065"/>
    <w:rsid w:val="08C51B45"/>
    <w:rsid w:val="08D70D77"/>
    <w:rsid w:val="0BCA29F3"/>
    <w:rsid w:val="0BF40938"/>
    <w:rsid w:val="0C2301B0"/>
    <w:rsid w:val="0C4D04E0"/>
    <w:rsid w:val="0CDA299D"/>
    <w:rsid w:val="0CDE513F"/>
    <w:rsid w:val="0D8F0FAC"/>
    <w:rsid w:val="0DD130EA"/>
    <w:rsid w:val="0DF640ED"/>
    <w:rsid w:val="0E854667"/>
    <w:rsid w:val="0E854FF5"/>
    <w:rsid w:val="0EB64FAE"/>
    <w:rsid w:val="0F8F162D"/>
    <w:rsid w:val="0F8F23C5"/>
    <w:rsid w:val="0FC51E0C"/>
    <w:rsid w:val="0FF81504"/>
    <w:rsid w:val="10EC41D1"/>
    <w:rsid w:val="11BD5421"/>
    <w:rsid w:val="11F94756"/>
    <w:rsid w:val="120D18DE"/>
    <w:rsid w:val="12D6271E"/>
    <w:rsid w:val="12D90358"/>
    <w:rsid w:val="12F820AA"/>
    <w:rsid w:val="13987E89"/>
    <w:rsid w:val="13A779EC"/>
    <w:rsid w:val="13AA6B23"/>
    <w:rsid w:val="13FD46F8"/>
    <w:rsid w:val="14483A2E"/>
    <w:rsid w:val="14523BC9"/>
    <w:rsid w:val="146E5DD4"/>
    <w:rsid w:val="14B62641"/>
    <w:rsid w:val="14FF4F71"/>
    <w:rsid w:val="15022D8D"/>
    <w:rsid w:val="151C2BAF"/>
    <w:rsid w:val="15716E79"/>
    <w:rsid w:val="159C0708"/>
    <w:rsid w:val="15E415AA"/>
    <w:rsid w:val="166B3CCC"/>
    <w:rsid w:val="16AA7039"/>
    <w:rsid w:val="17021790"/>
    <w:rsid w:val="17112826"/>
    <w:rsid w:val="17366F8F"/>
    <w:rsid w:val="176D4C17"/>
    <w:rsid w:val="17C66165"/>
    <w:rsid w:val="18004002"/>
    <w:rsid w:val="181D03BF"/>
    <w:rsid w:val="18762DC1"/>
    <w:rsid w:val="188F5014"/>
    <w:rsid w:val="18D651C3"/>
    <w:rsid w:val="19636B8A"/>
    <w:rsid w:val="19773352"/>
    <w:rsid w:val="19B43C9A"/>
    <w:rsid w:val="1A440CBB"/>
    <w:rsid w:val="1A826182"/>
    <w:rsid w:val="1ACD2103"/>
    <w:rsid w:val="1AD453EF"/>
    <w:rsid w:val="1BB55236"/>
    <w:rsid w:val="1C426C19"/>
    <w:rsid w:val="1CCB5707"/>
    <w:rsid w:val="1CED004B"/>
    <w:rsid w:val="1D4000CE"/>
    <w:rsid w:val="1DAB3139"/>
    <w:rsid w:val="1E2327A4"/>
    <w:rsid w:val="1E371794"/>
    <w:rsid w:val="1EA41473"/>
    <w:rsid w:val="1EBE22A6"/>
    <w:rsid w:val="1EF227B2"/>
    <w:rsid w:val="1F437C71"/>
    <w:rsid w:val="1F4B1EBE"/>
    <w:rsid w:val="1FAA043E"/>
    <w:rsid w:val="1FF350B2"/>
    <w:rsid w:val="1FF471D1"/>
    <w:rsid w:val="206F0499"/>
    <w:rsid w:val="20F123BB"/>
    <w:rsid w:val="21517204"/>
    <w:rsid w:val="21804C65"/>
    <w:rsid w:val="21962C90"/>
    <w:rsid w:val="221412C7"/>
    <w:rsid w:val="226C51A3"/>
    <w:rsid w:val="23645D51"/>
    <w:rsid w:val="23744108"/>
    <w:rsid w:val="23AC36AE"/>
    <w:rsid w:val="23D36741"/>
    <w:rsid w:val="23FD610F"/>
    <w:rsid w:val="242E7921"/>
    <w:rsid w:val="24582345"/>
    <w:rsid w:val="24CE39FB"/>
    <w:rsid w:val="256249F6"/>
    <w:rsid w:val="257E1701"/>
    <w:rsid w:val="25E93C6E"/>
    <w:rsid w:val="26F917F0"/>
    <w:rsid w:val="275E24CF"/>
    <w:rsid w:val="27640294"/>
    <w:rsid w:val="277426FA"/>
    <w:rsid w:val="27D80E2F"/>
    <w:rsid w:val="28744F8B"/>
    <w:rsid w:val="289A7EDE"/>
    <w:rsid w:val="28B07AFA"/>
    <w:rsid w:val="28FC6E02"/>
    <w:rsid w:val="29C93ECC"/>
    <w:rsid w:val="2A006A2E"/>
    <w:rsid w:val="2A097695"/>
    <w:rsid w:val="2AB73024"/>
    <w:rsid w:val="2AD22E5B"/>
    <w:rsid w:val="2ADE0C2E"/>
    <w:rsid w:val="2B1B3787"/>
    <w:rsid w:val="2B9513F9"/>
    <w:rsid w:val="2BAA418B"/>
    <w:rsid w:val="2C4A343C"/>
    <w:rsid w:val="2CDD4546"/>
    <w:rsid w:val="2D1D6486"/>
    <w:rsid w:val="2D550083"/>
    <w:rsid w:val="2D9A3217"/>
    <w:rsid w:val="2DE77855"/>
    <w:rsid w:val="2DF03112"/>
    <w:rsid w:val="2E0038CB"/>
    <w:rsid w:val="2E2D23C4"/>
    <w:rsid w:val="2E407FB0"/>
    <w:rsid w:val="2E417F9B"/>
    <w:rsid w:val="2E703632"/>
    <w:rsid w:val="2EA16645"/>
    <w:rsid w:val="2EBB4CEB"/>
    <w:rsid w:val="2ED06C85"/>
    <w:rsid w:val="2F9B7AEC"/>
    <w:rsid w:val="30014D0F"/>
    <w:rsid w:val="304614B8"/>
    <w:rsid w:val="30B17BAC"/>
    <w:rsid w:val="30FD2BFD"/>
    <w:rsid w:val="3114677F"/>
    <w:rsid w:val="319F778F"/>
    <w:rsid w:val="31F15DEE"/>
    <w:rsid w:val="31F330E7"/>
    <w:rsid w:val="322E5111"/>
    <w:rsid w:val="32675930"/>
    <w:rsid w:val="32697403"/>
    <w:rsid w:val="33154E3C"/>
    <w:rsid w:val="331A69F0"/>
    <w:rsid w:val="33B700BB"/>
    <w:rsid w:val="35355D0E"/>
    <w:rsid w:val="35597636"/>
    <w:rsid w:val="35AF0487"/>
    <w:rsid w:val="35C82A8E"/>
    <w:rsid w:val="35D57E51"/>
    <w:rsid w:val="36051BFF"/>
    <w:rsid w:val="3605362E"/>
    <w:rsid w:val="365A38A9"/>
    <w:rsid w:val="369F370C"/>
    <w:rsid w:val="36F210B0"/>
    <w:rsid w:val="378F6A65"/>
    <w:rsid w:val="37B4620E"/>
    <w:rsid w:val="380074E9"/>
    <w:rsid w:val="38495278"/>
    <w:rsid w:val="38587FF9"/>
    <w:rsid w:val="38BE0DC1"/>
    <w:rsid w:val="38C94677"/>
    <w:rsid w:val="39C93B05"/>
    <w:rsid w:val="39D3559E"/>
    <w:rsid w:val="3A173D1C"/>
    <w:rsid w:val="3A3D4740"/>
    <w:rsid w:val="3A5F1132"/>
    <w:rsid w:val="3A73D79C"/>
    <w:rsid w:val="3AB32398"/>
    <w:rsid w:val="3B2D5D45"/>
    <w:rsid w:val="3BAF20EC"/>
    <w:rsid w:val="3BE945F2"/>
    <w:rsid w:val="3BF50882"/>
    <w:rsid w:val="3C000C2A"/>
    <w:rsid w:val="3C100B3E"/>
    <w:rsid w:val="3C69651E"/>
    <w:rsid w:val="3CA7143F"/>
    <w:rsid w:val="3CFC5800"/>
    <w:rsid w:val="3D4E6BD3"/>
    <w:rsid w:val="3D9443AB"/>
    <w:rsid w:val="3DB5332B"/>
    <w:rsid w:val="3DDFE1D9"/>
    <w:rsid w:val="3E790CD9"/>
    <w:rsid w:val="3EB50FE4"/>
    <w:rsid w:val="3EB56053"/>
    <w:rsid w:val="3ED3056A"/>
    <w:rsid w:val="3F297E91"/>
    <w:rsid w:val="40465457"/>
    <w:rsid w:val="409F1D23"/>
    <w:rsid w:val="40B92E7A"/>
    <w:rsid w:val="4121294C"/>
    <w:rsid w:val="416425A6"/>
    <w:rsid w:val="417F22FA"/>
    <w:rsid w:val="41BE0538"/>
    <w:rsid w:val="41D60C31"/>
    <w:rsid w:val="41E73FF3"/>
    <w:rsid w:val="426F7D01"/>
    <w:rsid w:val="427847B2"/>
    <w:rsid w:val="42B83CC2"/>
    <w:rsid w:val="4330462E"/>
    <w:rsid w:val="435D51A5"/>
    <w:rsid w:val="439F1296"/>
    <w:rsid w:val="43B07CE8"/>
    <w:rsid w:val="43D26E45"/>
    <w:rsid w:val="43D35754"/>
    <w:rsid w:val="43E53C64"/>
    <w:rsid w:val="442D4330"/>
    <w:rsid w:val="44694938"/>
    <w:rsid w:val="44CA6D63"/>
    <w:rsid w:val="44F6591F"/>
    <w:rsid w:val="456E15E0"/>
    <w:rsid w:val="46104591"/>
    <w:rsid w:val="46A811D4"/>
    <w:rsid w:val="470A4761"/>
    <w:rsid w:val="476A50D0"/>
    <w:rsid w:val="47C91CF6"/>
    <w:rsid w:val="47FF6BC9"/>
    <w:rsid w:val="481C3065"/>
    <w:rsid w:val="483E3803"/>
    <w:rsid w:val="484E3DC5"/>
    <w:rsid w:val="49AA715A"/>
    <w:rsid w:val="49E31923"/>
    <w:rsid w:val="4A0F0BDB"/>
    <w:rsid w:val="4A204AE1"/>
    <w:rsid w:val="4A3B44CD"/>
    <w:rsid w:val="4A662B9A"/>
    <w:rsid w:val="4AA62A44"/>
    <w:rsid w:val="4B5A4AD8"/>
    <w:rsid w:val="4B665B2B"/>
    <w:rsid w:val="4BA603F9"/>
    <w:rsid w:val="4BE070EB"/>
    <w:rsid w:val="4BF65EDB"/>
    <w:rsid w:val="4C636516"/>
    <w:rsid w:val="4C7B1D2C"/>
    <w:rsid w:val="4C9C42B1"/>
    <w:rsid w:val="4D607CC5"/>
    <w:rsid w:val="4DD91AC5"/>
    <w:rsid w:val="4DF5575D"/>
    <w:rsid w:val="4E3B2EB0"/>
    <w:rsid w:val="4EE170F3"/>
    <w:rsid w:val="4EE52E27"/>
    <w:rsid w:val="4F031E7E"/>
    <w:rsid w:val="4F553E9D"/>
    <w:rsid w:val="4FFB3AEA"/>
    <w:rsid w:val="50074664"/>
    <w:rsid w:val="503F4417"/>
    <w:rsid w:val="5054748B"/>
    <w:rsid w:val="51AB53D3"/>
    <w:rsid w:val="52083BED"/>
    <w:rsid w:val="52360FEB"/>
    <w:rsid w:val="527F1A82"/>
    <w:rsid w:val="528804C9"/>
    <w:rsid w:val="52AE6BD5"/>
    <w:rsid w:val="5305110B"/>
    <w:rsid w:val="53113F28"/>
    <w:rsid w:val="5326614A"/>
    <w:rsid w:val="542102FD"/>
    <w:rsid w:val="54361602"/>
    <w:rsid w:val="54AF18E5"/>
    <w:rsid w:val="551C003B"/>
    <w:rsid w:val="55233E25"/>
    <w:rsid w:val="55261436"/>
    <w:rsid w:val="558120A3"/>
    <w:rsid w:val="559D6CC2"/>
    <w:rsid w:val="56AC5A64"/>
    <w:rsid w:val="56CD26BB"/>
    <w:rsid w:val="56D066AC"/>
    <w:rsid w:val="578849A6"/>
    <w:rsid w:val="57C63BD5"/>
    <w:rsid w:val="58354CFD"/>
    <w:rsid w:val="58505E76"/>
    <w:rsid w:val="58924130"/>
    <w:rsid w:val="58B25EF7"/>
    <w:rsid w:val="58FE4447"/>
    <w:rsid w:val="5986788D"/>
    <w:rsid w:val="599C09A4"/>
    <w:rsid w:val="59F124FD"/>
    <w:rsid w:val="5B373C79"/>
    <w:rsid w:val="5B495755"/>
    <w:rsid w:val="5B8868D1"/>
    <w:rsid w:val="5B9B68C2"/>
    <w:rsid w:val="5BB40EB8"/>
    <w:rsid w:val="5C173115"/>
    <w:rsid w:val="5C4E3701"/>
    <w:rsid w:val="5CC22F64"/>
    <w:rsid w:val="5CC83481"/>
    <w:rsid w:val="5CD8388E"/>
    <w:rsid w:val="5D644D56"/>
    <w:rsid w:val="5DE03282"/>
    <w:rsid w:val="5DFB3E29"/>
    <w:rsid w:val="5E8A7C23"/>
    <w:rsid w:val="5EB80515"/>
    <w:rsid w:val="5ED74609"/>
    <w:rsid w:val="5ED81E93"/>
    <w:rsid w:val="5EFF31DD"/>
    <w:rsid w:val="5F705858"/>
    <w:rsid w:val="5F7441CF"/>
    <w:rsid w:val="604F20E4"/>
    <w:rsid w:val="60946EC5"/>
    <w:rsid w:val="60F66746"/>
    <w:rsid w:val="61950396"/>
    <w:rsid w:val="61A02114"/>
    <w:rsid w:val="61A731FD"/>
    <w:rsid w:val="61D4779C"/>
    <w:rsid w:val="62303A67"/>
    <w:rsid w:val="626B4F85"/>
    <w:rsid w:val="62915F62"/>
    <w:rsid w:val="62BF627C"/>
    <w:rsid w:val="62C34843"/>
    <w:rsid w:val="62C5540B"/>
    <w:rsid w:val="62FE560D"/>
    <w:rsid w:val="63927375"/>
    <w:rsid w:val="64587389"/>
    <w:rsid w:val="64A13C0B"/>
    <w:rsid w:val="64E64555"/>
    <w:rsid w:val="652417B2"/>
    <w:rsid w:val="65D52B96"/>
    <w:rsid w:val="66242754"/>
    <w:rsid w:val="663840DA"/>
    <w:rsid w:val="67377DF1"/>
    <w:rsid w:val="680A65C3"/>
    <w:rsid w:val="683E3E73"/>
    <w:rsid w:val="68A4651C"/>
    <w:rsid w:val="693A7CBF"/>
    <w:rsid w:val="69EF0F52"/>
    <w:rsid w:val="6A643DDA"/>
    <w:rsid w:val="6AA1056C"/>
    <w:rsid w:val="6B000CB3"/>
    <w:rsid w:val="6BBB55FB"/>
    <w:rsid w:val="6BC609EA"/>
    <w:rsid w:val="6C4B5F49"/>
    <w:rsid w:val="6C872B31"/>
    <w:rsid w:val="6CA32DC6"/>
    <w:rsid w:val="6CB02C1E"/>
    <w:rsid w:val="6CD44A10"/>
    <w:rsid w:val="6D4054B6"/>
    <w:rsid w:val="6D491C18"/>
    <w:rsid w:val="6D5C24A5"/>
    <w:rsid w:val="6DA23604"/>
    <w:rsid w:val="6DBE513C"/>
    <w:rsid w:val="6DFC284C"/>
    <w:rsid w:val="6E832CBF"/>
    <w:rsid w:val="6E965AE7"/>
    <w:rsid w:val="6E98275A"/>
    <w:rsid w:val="6E985E79"/>
    <w:rsid w:val="6EC6784C"/>
    <w:rsid w:val="6EF95DB0"/>
    <w:rsid w:val="6F103D57"/>
    <w:rsid w:val="6F35655E"/>
    <w:rsid w:val="6F3A1D69"/>
    <w:rsid w:val="6F48486A"/>
    <w:rsid w:val="6FBB362B"/>
    <w:rsid w:val="6FDF5957"/>
    <w:rsid w:val="708B298C"/>
    <w:rsid w:val="70FF2906"/>
    <w:rsid w:val="71215273"/>
    <w:rsid w:val="71553AC1"/>
    <w:rsid w:val="715C7E50"/>
    <w:rsid w:val="718F299E"/>
    <w:rsid w:val="71924880"/>
    <w:rsid w:val="71A15E5F"/>
    <w:rsid w:val="72953350"/>
    <w:rsid w:val="72AC5D00"/>
    <w:rsid w:val="72F05A97"/>
    <w:rsid w:val="730570D9"/>
    <w:rsid w:val="73E12772"/>
    <w:rsid w:val="73EA644F"/>
    <w:rsid w:val="74004D21"/>
    <w:rsid w:val="74E31B23"/>
    <w:rsid w:val="751371A1"/>
    <w:rsid w:val="758E2245"/>
    <w:rsid w:val="75D32845"/>
    <w:rsid w:val="7612322A"/>
    <w:rsid w:val="76381598"/>
    <w:rsid w:val="766F054F"/>
    <w:rsid w:val="76920487"/>
    <w:rsid w:val="76DC0C04"/>
    <w:rsid w:val="772F5E01"/>
    <w:rsid w:val="775A0C6F"/>
    <w:rsid w:val="777B4217"/>
    <w:rsid w:val="778072C9"/>
    <w:rsid w:val="78115A47"/>
    <w:rsid w:val="787550BE"/>
    <w:rsid w:val="78BB23D3"/>
    <w:rsid w:val="78D775F4"/>
    <w:rsid w:val="79804136"/>
    <w:rsid w:val="7A055065"/>
    <w:rsid w:val="7A133CE8"/>
    <w:rsid w:val="7A4146AA"/>
    <w:rsid w:val="7A521B58"/>
    <w:rsid w:val="7AC3397A"/>
    <w:rsid w:val="7B166E97"/>
    <w:rsid w:val="7B305D22"/>
    <w:rsid w:val="7B9F0C52"/>
    <w:rsid w:val="7C342AA9"/>
    <w:rsid w:val="7CCA5403"/>
    <w:rsid w:val="7D0902FA"/>
    <w:rsid w:val="7D275094"/>
    <w:rsid w:val="7D3931ED"/>
    <w:rsid w:val="7D5ED151"/>
    <w:rsid w:val="7D61065A"/>
    <w:rsid w:val="7D617252"/>
    <w:rsid w:val="7D6A4113"/>
    <w:rsid w:val="7D6B7578"/>
    <w:rsid w:val="7DA01D2C"/>
    <w:rsid w:val="7DA31A58"/>
    <w:rsid w:val="7DB8322F"/>
    <w:rsid w:val="7DBE4FAB"/>
    <w:rsid w:val="7EC4292A"/>
    <w:rsid w:val="7ED76AAC"/>
    <w:rsid w:val="7EDF73FB"/>
    <w:rsid w:val="7F5701EB"/>
    <w:rsid w:val="7F980144"/>
    <w:rsid w:val="7FEADCB2"/>
    <w:rsid w:val="7FF1B701"/>
    <w:rsid w:val="7FFF05DC"/>
    <w:rsid w:val="B5BF86D0"/>
    <w:rsid w:val="BE67C379"/>
    <w:rsid w:val="CFB77BA3"/>
    <w:rsid w:val="D8EF4371"/>
    <w:rsid w:val="DF524511"/>
    <w:rsid w:val="EF7F107E"/>
    <w:rsid w:val="EFAFDC85"/>
    <w:rsid w:val="EFFD51E6"/>
    <w:rsid w:val="F4773350"/>
    <w:rsid w:val="FA5F0F74"/>
    <w:rsid w:val="FB7F80E3"/>
    <w:rsid w:val="FBFA93AC"/>
    <w:rsid w:val="FCBFC96B"/>
    <w:rsid w:val="FDD79206"/>
    <w:rsid w:val="FDFD6AA8"/>
    <w:rsid w:val="FFBFCAFE"/>
    <w:rsid w:val="FFD1A5F2"/>
    <w:rsid w:val="FFFF9677"/>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caption"/>
    <w:basedOn w:val="1"/>
    <w:next w:val="1"/>
    <w:semiHidden/>
    <w:unhideWhenUsed/>
    <w:qFormat/>
    <w:uiPriority w:val="0"/>
    <w:rPr>
      <w:rFonts w:ascii="Arial" w:hAnsi="Arial" w:eastAsia="黑体"/>
      <w:sz w:val="20"/>
    </w:rPr>
  </w:style>
  <w:style w:type="paragraph" w:styleId="4">
    <w:name w:val="annotation text"/>
    <w:basedOn w:val="1"/>
    <w:qFormat/>
    <w:uiPriority w:val="0"/>
    <w:pPr>
      <w:jc w:val="left"/>
    </w:pPr>
  </w:style>
  <w:style w:type="paragraph" w:styleId="5">
    <w:name w:val="Balloon Text"/>
    <w:basedOn w:val="1"/>
    <w:link w:val="15"/>
    <w:qFormat/>
    <w:uiPriority w:val="0"/>
    <w:rPr>
      <w:sz w:val="18"/>
      <w:szCs w:val="18"/>
    </w:rPr>
  </w:style>
  <w:style w:type="paragraph" w:styleId="6">
    <w:name w:val="footer"/>
    <w:basedOn w:val="1"/>
    <w:link w:val="16"/>
    <w:qFormat/>
    <w:uiPriority w:val="0"/>
    <w:pPr>
      <w:tabs>
        <w:tab w:val="center" w:pos="4153"/>
        <w:tab w:val="right" w:pos="8306"/>
      </w:tabs>
      <w:snapToGrid w:val="0"/>
      <w:jc w:val="left"/>
    </w:pPr>
    <w:rPr>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0"/>
    <w:pPr>
      <w:spacing w:beforeAutospacing="1" w:afterAutospacing="1"/>
      <w:jc w:val="left"/>
    </w:pPr>
    <w:rPr>
      <w:kern w:val="0"/>
      <w:sz w:val="24"/>
    </w:rPr>
  </w:style>
  <w:style w:type="character" w:styleId="11">
    <w:name w:val="FollowedHyperlink"/>
    <w:basedOn w:val="10"/>
    <w:qFormat/>
    <w:uiPriority w:val="0"/>
    <w:rPr>
      <w:color w:val="000000"/>
      <w:u w:val="none"/>
    </w:rPr>
  </w:style>
  <w:style w:type="character" w:styleId="12">
    <w:name w:val="Hyperlink"/>
    <w:basedOn w:val="10"/>
    <w:qFormat/>
    <w:uiPriority w:val="0"/>
    <w:rPr>
      <w:color w:val="000000"/>
      <w:u w:val="none"/>
    </w:rPr>
  </w:style>
  <w:style w:type="character" w:customStyle="1" w:styleId="13">
    <w:name w:val="item-name"/>
    <w:basedOn w:val="10"/>
    <w:qFormat/>
    <w:uiPriority w:val="0"/>
  </w:style>
  <w:style w:type="character" w:customStyle="1" w:styleId="14">
    <w:name w:val="item-name1"/>
    <w:basedOn w:val="10"/>
    <w:qFormat/>
    <w:uiPriority w:val="0"/>
  </w:style>
  <w:style w:type="character" w:customStyle="1" w:styleId="15">
    <w:name w:val="批注框文本 Char"/>
    <w:basedOn w:val="10"/>
    <w:link w:val="5"/>
    <w:qFormat/>
    <w:uiPriority w:val="0"/>
    <w:rPr>
      <w:kern w:val="2"/>
      <w:sz w:val="18"/>
      <w:szCs w:val="18"/>
    </w:rPr>
  </w:style>
  <w:style w:type="character" w:customStyle="1" w:styleId="16">
    <w:name w:val="页脚 Char"/>
    <w:basedOn w:val="10"/>
    <w:link w:val="6"/>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hart" Target="charts/chart2.xml"/><Relationship Id="rId8" Type="http://schemas.openxmlformats.org/officeDocument/2006/relationships/chart" Target="charts/chart1.xml"/><Relationship Id="rId7" Type="http://schemas.openxmlformats.org/officeDocument/2006/relationships/image" Target="media/image2.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png"/><Relationship Id="rId10" Type="http://schemas.openxmlformats.org/officeDocument/2006/relationships/chart" Target="charts/chart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Administrator\Desktop\&#31532;2&#27425;\2.2020-2021&#24180;&#25253;&#21578;&#32534;&#20889;&#25903;&#25745;&#25968;&#25454;&#26368;&#32456;10.25.ex.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C:\Users\Administrator\Desktop\&#31532;2&#27425;\1.&#21305;&#37197;&#19987;&#19994;10.25.xls"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C:\Users\Administrator\Desktop\&#31532;2&#27425;\1.&#21305;&#37197;&#19987;&#19994;10.25.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1"/>
            <c:showVal val="1"/>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'[2.2020-2021年报告编写支撑数据最终10.25.ex.xlsx]2'!$G$2:$I$2</c:f>
              <c:strCache>
                <c:ptCount val="3"/>
                <c:pt idx="0">
                  <c:v>学士及以下</c:v>
                </c:pt>
                <c:pt idx="1">
                  <c:v>硕士学位</c:v>
                </c:pt>
                <c:pt idx="2">
                  <c:v>博士学位</c:v>
                </c:pt>
              </c:strCache>
            </c:strRef>
          </c:cat>
          <c:val>
            <c:numRef>
              <c:f>'[2.2020-2021年报告编写支撑数据最终10.25.ex.xlsx]2'!$G$3:$I$3</c:f>
              <c:numCache>
                <c:formatCode>General</c:formatCode>
                <c:ptCount val="3"/>
                <c:pt idx="0">
                  <c:v>85</c:v>
                </c:pt>
                <c:pt idx="1">
                  <c:v>283</c:v>
                </c:pt>
                <c:pt idx="2">
                  <c:v>515</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noFill/>
    <a:ln w="9525" cap="flat" cmpd="sng" algn="ctr">
      <a:no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3034026465028"/>
          <c:y val="0.0489656978266562"/>
          <c:w val="0.5322936357908"/>
          <c:h val="0.884786593349044"/>
        </c:manualLayout>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1"/>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[1.匹配专业10.25.xls]Sheet3!$A$1:$C$1</c:f>
              <c:strCache>
                <c:ptCount val="3"/>
                <c:pt idx="0">
                  <c:v>正高</c:v>
                </c:pt>
                <c:pt idx="1">
                  <c:v>副高</c:v>
                </c:pt>
                <c:pt idx="2">
                  <c:v>中级以及下</c:v>
                </c:pt>
              </c:strCache>
            </c:strRef>
          </c:cat>
          <c:val>
            <c:numRef>
              <c:f>[1.匹配专业10.25.xls]Sheet3!$A$2:$C$2</c:f>
              <c:numCache>
                <c:formatCode>General</c:formatCode>
                <c:ptCount val="3"/>
                <c:pt idx="0">
                  <c:v>170</c:v>
                </c:pt>
                <c:pt idx="1">
                  <c:v>269</c:v>
                </c:pt>
                <c:pt idx="2">
                  <c:v>444</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noFill/>
    <a:ln w="9525" cap="flat" cmpd="sng" algn="ctr">
      <a:no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Pt>
            <c:idx val="6"/>
            <c:bubble3D val="0"/>
            <c:spPr>
              <a:solidFill>
                <a:schemeClr val="accent1">
                  <a:lumMod val="60000"/>
                </a:schemeClr>
              </a:solidFill>
              <a:ln w="19050">
                <a:solidFill>
                  <a:schemeClr val="lt1"/>
                </a:solidFill>
              </a:ln>
              <a:effectLst/>
            </c:spPr>
          </c:dPt>
          <c:dPt>
            <c:idx val="7"/>
            <c:bubble3D val="0"/>
            <c:spPr>
              <a:solidFill>
                <a:schemeClr val="accent2">
                  <a:lumMod val="60000"/>
                </a:schemeClr>
              </a:solidFill>
              <a:ln w="19050">
                <a:solidFill>
                  <a:schemeClr val="lt1"/>
                </a:solidFill>
              </a:ln>
              <a:effectLst/>
            </c:spPr>
          </c:dPt>
          <c:dPt>
            <c:idx val="8"/>
            <c:bubble3D val="0"/>
            <c:spPr>
              <a:solidFill>
                <a:schemeClr val="accent3">
                  <a:lumMod val="60000"/>
                </a:schemeClr>
              </a:solidFill>
              <a:ln w="19050">
                <a:solidFill>
                  <a:schemeClr val="lt1"/>
                </a:solidFill>
              </a:ln>
              <a:effectLst/>
            </c:spPr>
          </c:dPt>
          <c:dLbls>
            <c:dLbl>
              <c:idx val="6"/>
              <c:layout/>
              <c:dLblPos val="outEnd"/>
              <c:showLegendKey val="0"/>
              <c:showVal val="1"/>
              <c:showCatName val="0"/>
              <c:showSerName val="0"/>
              <c:showPercent val="0"/>
              <c:showBubbleSize val="0"/>
              <c:extLst>
                <c:ext xmlns:c15="http://schemas.microsoft.com/office/drawing/2012/chart" uri="{CE6537A1-D6FC-4f65-9D91-7224C49458BB}"/>
              </c:extLst>
            </c:dLbl>
            <c:dLbl>
              <c:idx val="8"/>
              <c:delete val="1"/>
            </c:dLbl>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[1.匹配专业10.25.xls]Sheet3!$A$6:$I$6</c:f>
              <c:strCache>
                <c:ptCount val="9"/>
                <c:pt idx="0">
                  <c:v>29岁及以下</c:v>
                </c:pt>
                <c:pt idx="1">
                  <c:v>30-34岁</c:v>
                </c:pt>
                <c:pt idx="2">
                  <c:v>35-39岁</c:v>
                </c:pt>
                <c:pt idx="3">
                  <c:v>40-44岁</c:v>
                </c:pt>
                <c:pt idx="4">
                  <c:v>45-49岁</c:v>
                </c:pt>
                <c:pt idx="5">
                  <c:v>50-54岁</c:v>
                </c:pt>
                <c:pt idx="6">
                  <c:v>55-59岁</c:v>
                </c:pt>
                <c:pt idx="7">
                  <c:v>60-64岁</c:v>
                </c:pt>
                <c:pt idx="8">
                  <c:v>65岁及以上</c:v>
                </c:pt>
              </c:strCache>
            </c:strRef>
          </c:cat>
          <c:val>
            <c:numRef>
              <c:f>[1.匹配专业10.25.xls]Sheet3!$A$7:$I$7</c:f>
              <c:numCache>
                <c:formatCode>General</c:formatCode>
                <c:ptCount val="9"/>
                <c:pt idx="0">
                  <c:v>36</c:v>
                </c:pt>
                <c:pt idx="1">
                  <c:v>139</c:v>
                </c:pt>
                <c:pt idx="2">
                  <c:v>179</c:v>
                </c:pt>
                <c:pt idx="3">
                  <c:v>199</c:v>
                </c:pt>
                <c:pt idx="4">
                  <c:v>140</c:v>
                </c:pt>
                <c:pt idx="5">
                  <c:v>94</c:v>
                </c:pt>
                <c:pt idx="6">
                  <c:v>90</c:v>
                </c:pt>
                <c:pt idx="7">
                  <c:v>5</c:v>
                </c:pt>
                <c:pt idx="8">
                  <c:v>1</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noFill/>
    <a:ln w="9525" cap="flat" cmpd="sng" algn="ctr">
      <a:no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28</Pages>
  <Words>23313</Words>
  <Characters>25026</Characters>
  <Lines>185</Lines>
  <Paragraphs>52</Paragraphs>
  <TotalTime>41</TotalTime>
  <ScaleCrop>false</ScaleCrop>
  <LinksUpToDate>false</LinksUpToDate>
  <CharactersWithSpaces>25215</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2021-10-09T11:34:00Z</dcterms:created>
  <dc:creator>菰城不孤</dc:creator>
  <cp:lastModifiedBy>刘萍</cp:lastModifiedBy>
  <cp:lastPrinted>2021-10-21T00:33:00Z</cp:lastPrinted>
  <dcterms:modified xsi:type="dcterms:W3CDTF">2022-05-13T06:07:36Z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ICV">
    <vt:lpwstr>B055241209A44CAD88B7E4A61B6F01C6</vt:lpwstr>
  </property>
  <property fmtid="{D5CDD505-2E9C-101B-9397-08002B2CF9AE}" pid="4" name="woTemplateTypoMode" linkTarget="0">
    <vt:lpwstr>web</vt:lpwstr>
  </property>
  <property fmtid="{D5CDD505-2E9C-101B-9397-08002B2CF9AE}" pid="5" name="woTemplate" linkTarget="0">
    <vt:i4>1</vt:i4>
  </property>
</Properties>
</file>